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8C597" w14:textId="02CB2376" w:rsidR="0083731A" w:rsidRDefault="0083731A" w:rsidP="0083731A">
      <w:pPr>
        <w:pStyle w:val="BodyText2"/>
        <w:numPr>
          <w:ilvl w:val="0"/>
          <w:numId w:val="1"/>
        </w:numPr>
        <w:spacing w:after="0" w:line="240" w:lineRule="auto"/>
        <w:outlineLvl w:val="0"/>
        <w:rPr>
          <w:rFonts w:ascii="Arial" w:hAnsi="Arial" w:cs="Arial"/>
          <w:b/>
          <w:sz w:val="20"/>
          <w:szCs w:val="20"/>
        </w:rPr>
      </w:pPr>
      <w:bookmarkStart w:id="0" w:name="_Hlk13834972"/>
      <w:bookmarkStart w:id="1" w:name="_GoBack"/>
      <w:bookmarkEnd w:id="1"/>
      <w:r w:rsidRPr="008C7FDB">
        <w:rPr>
          <w:rFonts w:ascii="Arial" w:hAnsi="Arial" w:cs="Arial"/>
          <w:b/>
          <w:sz w:val="20"/>
          <w:szCs w:val="20"/>
        </w:rPr>
        <w:t>Overview</w:t>
      </w:r>
    </w:p>
    <w:bookmarkEnd w:id="0"/>
    <w:p w14:paraId="461C1346" w14:textId="77777777" w:rsidR="0083731A" w:rsidRPr="008C7FDB" w:rsidRDefault="0083731A" w:rsidP="0083731A">
      <w:pPr>
        <w:pStyle w:val="BodyText2"/>
        <w:spacing w:after="0" w:line="240" w:lineRule="auto"/>
        <w:ind w:left="720"/>
        <w:outlineLvl w:val="0"/>
        <w:rPr>
          <w:rFonts w:ascii="Arial" w:hAnsi="Arial" w:cs="Arial"/>
          <w:b/>
          <w:sz w:val="20"/>
          <w:szCs w:val="20"/>
        </w:rPr>
      </w:pPr>
    </w:p>
    <w:p w14:paraId="5696215F" w14:textId="0A35320E" w:rsidR="006566F2" w:rsidRPr="006531B1" w:rsidRDefault="006566F2" w:rsidP="0083731A">
      <w:pPr>
        <w:pStyle w:val="BodyText2"/>
        <w:spacing w:after="0" w:line="240" w:lineRule="auto"/>
        <w:outlineLvl w:val="0"/>
        <w:rPr>
          <w:rFonts w:ascii="Arial" w:hAnsi="Arial" w:cs="Arial"/>
          <w:b/>
          <w:sz w:val="20"/>
          <w:szCs w:val="20"/>
        </w:rPr>
      </w:pPr>
      <w:r w:rsidRPr="006531B1">
        <w:rPr>
          <w:rFonts w:ascii="Arial" w:hAnsi="Arial" w:cs="Arial"/>
          <w:b/>
          <w:sz w:val="20"/>
          <w:szCs w:val="20"/>
        </w:rPr>
        <w:tab/>
        <w:t>Purpose</w:t>
      </w:r>
    </w:p>
    <w:p w14:paraId="2C937B87" w14:textId="624C14CC" w:rsidR="00D656F4" w:rsidRDefault="00FB6542" w:rsidP="0083731A">
      <w:pPr>
        <w:pStyle w:val="NoSpacing"/>
        <w:ind w:left="720"/>
        <w:rPr>
          <w:rFonts w:cs="Arial"/>
          <w:szCs w:val="20"/>
        </w:rPr>
      </w:pPr>
      <w:r w:rsidRPr="006531B1">
        <w:rPr>
          <w:rFonts w:cs="Arial"/>
          <w:szCs w:val="20"/>
        </w:rPr>
        <w:t xml:space="preserve">The </w:t>
      </w:r>
      <w:r w:rsidR="009A1092" w:rsidRPr="006531B1">
        <w:rPr>
          <w:rFonts w:cs="Arial"/>
          <w:szCs w:val="20"/>
        </w:rPr>
        <w:t xml:space="preserve">purpose </w:t>
      </w:r>
      <w:r w:rsidR="00DD10BE" w:rsidRPr="006531B1">
        <w:rPr>
          <w:rFonts w:cs="Arial"/>
          <w:szCs w:val="20"/>
        </w:rPr>
        <w:t>of this document is to</w:t>
      </w:r>
      <w:r w:rsidR="00D656F4" w:rsidRPr="006531B1">
        <w:rPr>
          <w:rFonts w:cs="Arial"/>
          <w:szCs w:val="20"/>
        </w:rPr>
        <w:t xml:space="preserve"> describe the circumstances in which unit outcomes are resulted as Competency Not Achieved. This policy ensures unit outcomes are finalised within agreed timeframes to support course progress monitoring.</w:t>
      </w:r>
      <w:r w:rsidR="00D656F4" w:rsidRPr="006531B1">
        <w:rPr>
          <w:rFonts w:cs="Arial"/>
          <w:szCs w:val="20"/>
        </w:rPr>
        <w:tab/>
      </w:r>
      <w:r w:rsidR="00D656F4" w:rsidRPr="00D656F4">
        <w:rPr>
          <w:rFonts w:cs="Arial"/>
          <w:szCs w:val="20"/>
        </w:rPr>
        <w:t xml:space="preserve">        </w:t>
      </w:r>
    </w:p>
    <w:p w14:paraId="4D8562AB" w14:textId="112709A7" w:rsidR="004A443A" w:rsidRPr="00EE617F" w:rsidRDefault="004A443A" w:rsidP="0083731A">
      <w:pPr>
        <w:pStyle w:val="NoSpacing"/>
        <w:ind w:left="720"/>
        <w:rPr>
          <w:rFonts w:cs="Arial"/>
          <w:szCs w:val="20"/>
        </w:rPr>
      </w:pPr>
    </w:p>
    <w:p w14:paraId="6FAE7D47" w14:textId="6C1A530F" w:rsidR="00A701DE" w:rsidRDefault="00A701DE" w:rsidP="0083731A">
      <w:pPr>
        <w:pStyle w:val="NoSpacing"/>
        <w:ind w:left="720"/>
        <w:rPr>
          <w:rFonts w:cs="Arial"/>
          <w:szCs w:val="20"/>
        </w:rPr>
      </w:pPr>
      <w:r w:rsidRPr="00086B12">
        <w:rPr>
          <w:rFonts w:cs="Arial"/>
          <w:szCs w:val="20"/>
        </w:rPr>
        <w:t xml:space="preserve">The policy acknowledges the </w:t>
      </w:r>
      <w:hyperlink r:id="rId8" w:history="1">
        <w:r w:rsidRPr="00086B12">
          <w:rPr>
            <w:rStyle w:val="Hyperlink"/>
            <w:rFonts w:cs="Arial"/>
            <w:szCs w:val="20"/>
          </w:rPr>
          <w:t>Standards for Registered Training Organisations (RTOs) 2015</w:t>
        </w:r>
      </w:hyperlink>
      <w:r w:rsidRPr="00086B12">
        <w:rPr>
          <w:rFonts w:cs="Arial"/>
          <w:color w:val="5B9BD5" w:themeColor="accent1"/>
          <w:szCs w:val="20"/>
        </w:rPr>
        <w:t xml:space="preserve"> </w:t>
      </w:r>
      <w:r w:rsidRPr="00086B12">
        <w:rPr>
          <w:rFonts w:cs="Arial"/>
          <w:szCs w:val="20"/>
        </w:rPr>
        <w:t xml:space="preserve">and the </w:t>
      </w:r>
      <w:hyperlink r:id="rId9" w:history="1">
        <w:r w:rsidR="00783EDC" w:rsidRPr="00EE617F">
          <w:rPr>
            <w:rStyle w:val="Hyperlink"/>
            <w:rFonts w:cs="Arial"/>
            <w:szCs w:val="20"/>
          </w:rPr>
          <w:t>National Code of Practice for Providers of Education and Training to Overseas Students 2018</w:t>
        </w:r>
      </w:hyperlink>
      <w:r w:rsidR="00783EDC">
        <w:rPr>
          <w:rFonts w:cs="Arial"/>
          <w:szCs w:val="20"/>
        </w:rPr>
        <w:t xml:space="preserve"> E</w:t>
      </w:r>
      <w:r w:rsidRPr="00086B12">
        <w:rPr>
          <w:rFonts w:cs="Arial"/>
          <w:szCs w:val="20"/>
        </w:rPr>
        <w:t>QUALS ensures that practices are fair and equitable</w:t>
      </w:r>
    </w:p>
    <w:p w14:paraId="24A58882" w14:textId="77777777" w:rsidR="00A701DE" w:rsidRPr="00EE617F" w:rsidRDefault="00A701DE" w:rsidP="0083731A">
      <w:pPr>
        <w:pStyle w:val="NoSpacing"/>
        <w:ind w:left="720"/>
        <w:rPr>
          <w:rFonts w:cs="Arial"/>
          <w:szCs w:val="20"/>
        </w:rPr>
      </w:pPr>
    </w:p>
    <w:p w14:paraId="5AF888D9" w14:textId="63A9EC8C" w:rsidR="006566F2" w:rsidRPr="00EE617F" w:rsidRDefault="006566F2" w:rsidP="0083731A">
      <w:pPr>
        <w:pStyle w:val="BodyText2"/>
        <w:spacing w:after="0" w:line="240" w:lineRule="auto"/>
        <w:outlineLvl w:val="0"/>
        <w:rPr>
          <w:rFonts w:ascii="Arial" w:hAnsi="Arial" w:cs="Arial"/>
          <w:b/>
          <w:sz w:val="20"/>
          <w:szCs w:val="20"/>
        </w:rPr>
      </w:pPr>
      <w:r w:rsidRPr="00EE617F">
        <w:rPr>
          <w:rFonts w:ascii="Arial" w:hAnsi="Arial" w:cs="Arial"/>
          <w:b/>
          <w:sz w:val="20"/>
          <w:szCs w:val="20"/>
        </w:rPr>
        <w:tab/>
        <w:t>Scope</w:t>
      </w:r>
    </w:p>
    <w:p w14:paraId="1F27C034" w14:textId="1CC3AF3E" w:rsidR="003449D3" w:rsidRPr="006531B1" w:rsidRDefault="006C56DD" w:rsidP="004A365B">
      <w:pPr>
        <w:pStyle w:val="NoSpacing"/>
        <w:ind w:left="720"/>
        <w:rPr>
          <w:rFonts w:cs="Arial"/>
          <w:szCs w:val="20"/>
        </w:rPr>
      </w:pPr>
      <w:r w:rsidRPr="006531B1">
        <w:rPr>
          <w:rFonts w:cs="Arial"/>
          <w:szCs w:val="20"/>
        </w:rPr>
        <w:t>This policy applies to all</w:t>
      </w:r>
      <w:r w:rsidR="00E14AEB">
        <w:rPr>
          <w:rFonts w:cs="Arial"/>
          <w:szCs w:val="20"/>
        </w:rPr>
        <w:t xml:space="preserve"> VET</w:t>
      </w:r>
      <w:r w:rsidRPr="006531B1">
        <w:rPr>
          <w:rFonts w:cs="Arial"/>
          <w:szCs w:val="20"/>
        </w:rPr>
        <w:t xml:space="preserve"> students enrolled in accredited </w:t>
      </w:r>
      <w:r w:rsidR="00932E30" w:rsidRPr="006531B1">
        <w:rPr>
          <w:rFonts w:cs="Arial"/>
          <w:szCs w:val="20"/>
        </w:rPr>
        <w:t>course</w:t>
      </w:r>
      <w:r w:rsidRPr="006531B1">
        <w:rPr>
          <w:rFonts w:cs="Arial"/>
          <w:szCs w:val="20"/>
        </w:rPr>
        <w:t>s at EQUALS and to all educators and staff who administer enrolments.</w:t>
      </w:r>
    </w:p>
    <w:p w14:paraId="0F5288F3" w14:textId="77777777" w:rsidR="00E57093" w:rsidRPr="006531B1" w:rsidRDefault="00E57093" w:rsidP="0083731A">
      <w:pPr>
        <w:pStyle w:val="NoSpacing"/>
        <w:ind w:left="720"/>
        <w:rPr>
          <w:rFonts w:cs="Arial"/>
          <w:szCs w:val="20"/>
        </w:rPr>
      </w:pPr>
    </w:p>
    <w:p w14:paraId="53056075" w14:textId="0584C751" w:rsidR="003449D3" w:rsidRPr="006531B1" w:rsidRDefault="003449D3" w:rsidP="0083731A">
      <w:pPr>
        <w:pStyle w:val="NoSpacing"/>
        <w:ind w:left="720"/>
        <w:rPr>
          <w:rFonts w:cs="Arial"/>
          <w:szCs w:val="20"/>
        </w:rPr>
      </w:pPr>
    </w:p>
    <w:p w14:paraId="7F5EEE59" w14:textId="228F57ED" w:rsidR="00AA5B3F" w:rsidRPr="0083731A" w:rsidRDefault="00885E03" w:rsidP="0083731A">
      <w:pPr>
        <w:pStyle w:val="BodyText2"/>
        <w:numPr>
          <w:ilvl w:val="0"/>
          <w:numId w:val="1"/>
        </w:numPr>
        <w:spacing w:after="0" w:line="240" w:lineRule="auto"/>
        <w:outlineLvl w:val="0"/>
        <w:rPr>
          <w:rFonts w:ascii="Arial" w:hAnsi="Arial" w:cs="Arial"/>
          <w:b/>
          <w:sz w:val="20"/>
          <w:szCs w:val="20"/>
        </w:rPr>
      </w:pPr>
      <w:r w:rsidRPr="006531B1">
        <w:rPr>
          <w:rFonts w:ascii="Arial" w:hAnsi="Arial" w:cs="Arial"/>
          <w:b/>
          <w:sz w:val="20"/>
          <w:szCs w:val="20"/>
        </w:rPr>
        <w:t>Policy</w:t>
      </w:r>
      <w:r w:rsidR="00327B44" w:rsidRPr="006531B1">
        <w:rPr>
          <w:rFonts w:ascii="Arial" w:hAnsi="Arial" w:cs="Arial"/>
          <w:b/>
          <w:sz w:val="20"/>
          <w:szCs w:val="20"/>
        </w:rPr>
        <w:t xml:space="preserve"> s</w:t>
      </w:r>
      <w:r w:rsidR="006566F2" w:rsidRPr="006531B1">
        <w:rPr>
          <w:rFonts w:ascii="Arial" w:hAnsi="Arial" w:cs="Arial"/>
          <w:b/>
          <w:sz w:val="20"/>
          <w:szCs w:val="20"/>
        </w:rPr>
        <w:t>tatement</w:t>
      </w:r>
    </w:p>
    <w:p w14:paraId="5CFB00D3" w14:textId="77777777" w:rsidR="0083731A" w:rsidRDefault="0083731A" w:rsidP="0083731A">
      <w:pPr>
        <w:pStyle w:val="ListParagraph"/>
        <w:jc w:val="left"/>
        <w:rPr>
          <w:rFonts w:ascii="Arial" w:hAnsi="Arial" w:cs="Arial"/>
          <w:sz w:val="20"/>
          <w:szCs w:val="20"/>
        </w:rPr>
      </w:pPr>
    </w:p>
    <w:p w14:paraId="2ECF230E" w14:textId="77447F90" w:rsidR="00926B5C" w:rsidRDefault="00926B5C" w:rsidP="0083731A">
      <w:pPr>
        <w:pStyle w:val="ListParagraph"/>
        <w:numPr>
          <w:ilvl w:val="1"/>
          <w:numId w:val="1"/>
        </w:numPr>
        <w:jc w:val="left"/>
        <w:rPr>
          <w:rFonts w:ascii="Arial" w:hAnsi="Arial" w:cs="Arial"/>
          <w:sz w:val="20"/>
          <w:szCs w:val="20"/>
        </w:rPr>
      </w:pPr>
      <w:r>
        <w:rPr>
          <w:rFonts w:ascii="Arial" w:hAnsi="Arial" w:cs="Arial"/>
          <w:sz w:val="20"/>
          <w:szCs w:val="20"/>
        </w:rPr>
        <w:t>Students are entitled to two attempts to satisfactorily complete each assessment task within any unit study period.  No further attempts are permitted.</w:t>
      </w:r>
    </w:p>
    <w:p w14:paraId="60670835" w14:textId="77777777" w:rsidR="00926B5C" w:rsidRPr="00926B5C" w:rsidRDefault="00926B5C" w:rsidP="00926B5C">
      <w:pPr>
        <w:pStyle w:val="ListParagraph"/>
        <w:rPr>
          <w:rFonts w:ascii="Arial" w:hAnsi="Arial" w:cs="Arial"/>
          <w:sz w:val="20"/>
          <w:szCs w:val="20"/>
        </w:rPr>
      </w:pPr>
    </w:p>
    <w:p w14:paraId="4BDED42B" w14:textId="19DE9ECB" w:rsidR="004A365B" w:rsidRPr="006531B1" w:rsidRDefault="00926B5C" w:rsidP="004A365B">
      <w:pPr>
        <w:pStyle w:val="ListParagraph"/>
        <w:jc w:val="left"/>
        <w:rPr>
          <w:rFonts w:ascii="Arial" w:hAnsi="Arial" w:cs="Arial"/>
          <w:sz w:val="20"/>
          <w:szCs w:val="20"/>
        </w:rPr>
      </w:pPr>
      <w:r>
        <w:rPr>
          <w:rFonts w:ascii="Arial" w:hAnsi="Arial" w:cs="Arial"/>
          <w:sz w:val="20"/>
          <w:szCs w:val="20"/>
        </w:rPr>
        <w:t>Where students do not achieve competency, they should be advised of the need to re-enrol in the unit or provided advice regarding alternative pathways.  Course training fees are applicable for repeated units.</w:t>
      </w:r>
      <w:r w:rsidR="00B10209" w:rsidRPr="006531B1" w:rsidDel="00926B5C">
        <w:rPr>
          <w:rFonts w:ascii="Arial" w:hAnsi="Arial" w:cs="Arial"/>
          <w:sz w:val="20"/>
          <w:szCs w:val="20"/>
        </w:rPr>
        <w:t xml:space="preserve"> </w:t>
      </w:r>
    </w:p>
    <w:p w14:paraId="27AF67A7" w14:textId="77777777" w:rsidR="00926B5C" w:rsidRPr="00B10209" w:rsidRDefault="00926B5C" w:rsidP="004A365B">
      <w:pPr>
        <w:ind w:left="720"/>
        <w:rPr>
          <w:rFonts w:ascii="Arial" w:hAnsi="Arial" w:cs="Arial"/>
          <w:sz w:val="20"/>
          <w:szCs w:val="20"/>
        </w:rPr>
      </w:pPr>
    </w:p>
    <w:p w14:paraId="6582D4A7" w14:textId="77777777" w:rsidR="00926B5C" w:rsidRPr="006531B1" w:rsidRDefault="00926B5C" w:rsidP="00926B5C">
      <w:pPr>
        <w:pStyle w:val="ListParagraph"/>
        <w:numPr>
          <w:ilvl w:val="1"/>
          <w:numId w:val="1"/>
        </w:numPr>
        <w:jc w:val="left"/>
        <w:rPr>
          <w:rFonts w:ascii="Arial" w:hAnsi="Arial" w:cs="Arial"/>
          <w:sz w:val="20"/>
          <w:szCs w:val="20"/>
        </w:rPr>
      </w:pPr>
      <w:r w:rsidRPr="006531B1">
        <w:rPr>
          <w:rFonts w:ascii="Arial" w:hAnsi="Arial" w:cs="Arial"/>
          <w:sz w:val="20"/>
          <w:szCs w:val="20"/>
        </w:rPr>
        <w:t>Students who attempt a unit (defined as enrolment, undertaking training activity, and engagement in the assessment process) and fail to satisfactorily complete one or more unit assessment tasks on or before the agreed due date risk being resulted as Competency Not Achieved (CNA) for the unit and being required to re-sit all or part of that unit.</w:t>
      </w:r>
    </w:p>
    <w:p w14:paraId="5F590758" w14:textId="58079B5D" w:rsidR="00926B5C" w:rsidRDefault="00926B5C" w:rsidP="00926B5C">
      <w:pPr>
        <w:pStyle w:val="ListParagraph"/>
        <w:jc w:val="left"/>
        <w:rPr>
          <w:rFonts w:ascii="Arial" w:hAnsi="Arial" w:cs="Arial"/>
          <w:sz w:val="20"/>
          <w:szCs w:val="20"/>
        </w:rPr>
      </w:pPr>
    </w:p>
    <w:p w14:paraId="0F2831BC" w14:textId="5C23AAB7" w:rsidR="00926B5C" w:rsidRDefault="00926B5C" w:rsidP="00926B5C">
      <w:pPr>
        <w:pStyle w:val="ListParagraph"/>
        <w:numPr>
          <w:ilvl w:val="1"/>
          <w:numId w:val="1"/>
        </w:numPr>
        <w:jc w:val="left"/>
        <w:rPr>
          <w:rFonts w:ascii="Arial" w:hAnsi="Arial" w:cs="Arial"/>
          <w:sz w:val="20"/>
          <w:szCs w:val="20"/>
        </w:rPr>
      </w:pPr>
      <w:r w:rsidRPr="006531B1">
        <w:rPr>
          <w:rFonts w:ascii="Arial" w:hAnsi="Arial" w:cs="Arial"/>
          <w:sz w:val="20"/>
          <w:szCs w:val="20"/>
        </w:rPr>
        <w:t xml:space="preserve">Failure to attempt an assessment by the due date is deemed as a non-attempt on the student enrolment record.  The student will receive a further five (5) working days to attempt the assessment work.  A second non-attempt is resulted as a NYS on their student enrolment record and a Competency </w:t>
      </w:r>
      <w:r>
        <w:rPr>
          <w:rFonts w:ascii="Arial" w:hAnsi="Arial" w:cs="Arial"/>
          <w:sz w:val="20"/>
          <w:szCs w:val="20"/>
        </w:rPr>
        <w:t>N</w:t>
      </w:r>
      <w:r w:rsidRPr="006531B1">
        <w:rPr>
          <w:rFonts w:ascii="Arial" w:hAnsi="Arial" w:cs="Arial"/>
          <w:sz w:val="20"/>
          <w:szCs w:val="20"/>
        </w:rPr>
        <w:t xml:space="preserve">ot </w:t>
      </w:r>
      <w:r>
        <w:rPr>
          <w:rFonts w:ascii="Arial" w:hAnsi="Arial" w:cs="Arial"/>
          <w:sz w:val="20"/>
          <w:szCs w:val="20"/>
        </w:rPr>
        <w:t>A</w:t>
      </w:r>
      <w:r w:rsidRPr="006531B1">
        <w:rPr>
          <w:rFonts w:ascii="Arial" w:hAnsi="Arial" w:cs="Arial"/>
          <w:sz w:val="20"/>
          <w:szCs w:val="20"/>
        </w:rPr>
        <w:t>chieved</w:t>
      </w:r>
      <w:r>
        <w:rPr>
          <w:rFonts w:ascii="Arial" w:hAnsi="Arial" w:cs="Arial"/>
          <w:sz w:val="20"/>
          <w:szCs w:val="20"/>
        </w:rPr>
        <w:t xml:space="preserve"> (CNA</w:t>
      </w:r>
      <w:r w:rsidRPr="006531B1">
        <w:rPr>
          <w:rFonts w:ascii="Arial" w:hAnsi="Arial" w:cs="Arial"/>
          <w:sz w:val="20"/>
          <w:szCs w:val="20"/>
        </w:rPr>
        <w:t>) outcome is recorded for the unit.</w:t>
      </w:r>
    </w:p>
    <w:p w14:paraId="30C44169" w14:textId="77777777" w:rsidR="00926B5C" w:rsidRDefault="00926B5C" w:rsidP="00926B5C">
      <w:pPr>
        <w:pStyle w:val="ListParagraph"/>
        <w:jc w:val="left"/>
        <w:rPr>
          <w:rFonts w:ascii="Arial" w:hAnsi="Arial" w:cs="Arial"/>
          <w:sz w:val="20"/>
          <w:szCs w:val="20"/>
        </w:rPr>
      </w:pPr>
    </w:p>
    <w:p w14:paraId="30E08BD3" w14:textId="48F15318" w:rsidR="00263301" w:rsidRPr="006531B1" w:rsidRDefault="00263301" w:rsidP="0083731A">
      <w:pPr>
        <w:pStyle w:val="ListParagraph"/>
        <w:numPr>
          <w:ilvl w:val="1"/>
          <w:numId w:val="1"/>
        </w:numPr>
        <w:jc w:val="left"/>
        <w:rPr>
          <w:rFonts w:ascii="Arial" w:hAnsi="Arial" w:cs="Arial"/>
          <w:sz w:val="20"/>
          <w:szCs w:val="20"/>
        </w:rPr>
      </w:pPr>
      <w:r w:rsidRPr="006531B1">
        <w:rPr>
          <w:rFonts w:ascii="Arial" w:hAnsi="Arial" w:cs="Arial"/>
          <w:sz w:val="20"/>
          <w:szCs w:val="20"/>
        </w:rPr>
        <w:t xml:space="preserve">If a </w:t>
      </w:r>
      <w:r w:rsidR="00E14AEB" w:rsidRPr="006531B1">
        <w:rPr>
          <w:rFonts w:ascii="Arial" w:hAnsi="Arial" w:cs="Arial"/>
          <w:sz w:val="20"/>
          <w:szCs w:val="20"/>
        </w:rPr>
        <w:t>student</w:t>
      </w:r>
      <w:r w:rsidRPr="006531B1">
        <w:rPr>
          <w:rFonts w:ascii="Arial" w:hAnsi="Arial" w:cs="Arial"/>
          <w:sz w:val="20"/>
          <w:szCs w:val="20"/>
        </w:rPr>
        <w:t xml:space="preserve"> attempts an assessment on or before the due date (including 2nd attempt due date</w:t>
      </w:r>
      <w:r w:rsidR="00935D0E" w:rsidRPr="006531B1">
        <w:rPr>
          <w:rFonts w:ascii="Arial" w:hAnsi="Arial" w:cs="Arial"/>
          <w:sz w:val="20"/>
          <w:szCs w:val="20"/>
        </w:rPr>
        <w:t>) but</w:t>
      </w:r>
      <w:r w:rsidRPr="006531B1">
        <w:rPr>
          <w:rFonts w:ascii="Arial" w:hAnsi="Arial" w:cs="Arial"/>
          <w:sz w:val="20"/>
          <w:szCs w:val="20"/>
        </w:rPr>
        <w:t xml:space="preserve"> receives a NYS for two attempts at the same assessment, the student will be resulted as a NYS on the student enrolment record and a CNA outcome is recorded for the unit.</w:t>
      </w:r>
    </w:p>
    <w:p w14:paraId="3160F001" w14:textId="77777777" w:rsidR="00263301" w:rsidRPr="006531B1" w:rsidRDefault="00263301" w:rsidP="0083731A">
      <w:pPr>
        <w:pStyle w:val="ListParagraph"/>
        <w:jc w:val="left"/>
        <w:rPr>
          <w:rFonts w:ascii="Arial" w:hAnsi="Arial" w:cs="Arial"/>
          <w:sz w:val="20"/>
          <w:szCs w:val="20"/>
        </w:rPr>
      </w:pPr>
    </w:p>
    <w:p w14:paraId="67E82937" w14:textId="4A7AC3DF" w:rsidR="00263301" w:rsidRPr="00F74DC9" w:rsidRDefault="00E14AEB" w:rsidP="0083731A">
      <w:pPr>
        <w:pStyle w:val="ListParagraph"/>
        <w:numPr>
          <w:ilvl w:val="1"/>
          <w:numId w:val="1"/>
        </w:numPr>
        <w:jc w:val="left"/>
        <w:rPr>
          <w:rFonts w:ascii="Arial" w:hAnsi="Arial" w:cs="Arial"/>
          <w:sz w:val="20"/>
          <w:szCs w:val="20"/>
        </w:rPr>
      </w:pPr>
      <w:r>
        <w:rPr>
          <w:rFonts w:ascii="Arial" w:hAnsi="Arial" w:cs="Arial"/>
          <w:sz w:val="20"/>
          <w:szCs w:val="20"/>
        </w:rPr>
        <w:t>Work Integrated Learning (WIL)</w:t>
      </w:r>
      <w:r w:rsidR="00263301" w:rsidRPr="006531B1">
        <w:rPr>
          <w:rFonts w:ascii="Arial" w:hAnsi="Arial" w:cs="Arial"/>
          <w:sz w:val="20"/>
          <w:szCs w:val="20"/>
        </w:rPr>
        <w:t xml:space="preserve"> Offers: Refusal to accept an offer of </w:t>
      </w:r>
      <w:r>
        <w:rPr>
          <w:rFonts w:ascii="Arial" w:hAnsi="Arial" w:cs="Arial"/>
          <w:sz w:val="20"/>
          <w:szCs w:val="20"/>
        </w:rPr>
        <w:t>WIL</w:t>
      </w:r>
      <w:r w:rsidRPr="006531B1">
        <w:rPr>
          <w:rFonts w:ascii="Arial" w:hAnsi="Arial" w:cs="Arial"/>
          <w:sz w:val="20"/>
          <w:szCs w:val="20"/>
        </w:rPr>
        <w:t xml:space="preserve"> </w:t>
      </w:r>
      <w:r w:rsidR="00263301" w:rsidRPr="006531B1">
        <w:rPr>
          <w:rFonts w:ascii="Arial" w:hAnsi="Arial" w:cs="Arial"/>
          <w:sz w:val="20"/>
          <w:szCs w:val="20"/>
        </w:rPr>
        <w:t xml:space="preserve">is deemed as a non-attempt on the student enrolment record. A second non-attempt is resulted as a CNA on the student enrolment record and enrolment at </w:t>
      </w:r>
      <w:r w:rsidR="007026D2" w:rsidRPr="0059150D">
        <w:rPr>
          <w:rFonts w:ascii="Arial" w:hAnsi="Arial" w:cs="Arial"/>
          <w:sz w:val="20"/>
          <w:szCs w:val="20"/>
        </w:rPr>
        <w:t>EQUALS</w:t>
      </w:r>
      <w:r w:rsidR="00263301" w:rsidRPr="0059150D">
        <w:rPr>
          <w:rFonts w:ascii="Arial" w:hAnsi="Arial" w:cs="Arial"/>
          <w:sz w:val="20"/>
          <w:szCs w:val="20"/>
        </w:rPr>
        <w:t xml:space="preserve"> </w:t>
      </w:r>
      <w:r w:rsidR="00F74DC9">
        <w:rPr>
          <w:rFonts w:ascii="Arial" w:hAnsi="Arial" w:cs="Arial"/>
          <w:sz w:val="20"/>
          <w:szCs w:val="20"/>
        </w:rPr>
        <w:t xml:space="preserve">may be suspended or cancelled due to </w:t>
      </w:r>
      <w:r w:rsidR="00F74DC9" w:rsidRPr="00F74DC9">
        <w:rPr>
          <w:rFonts w:ascii="Arial" w:hAnsi="Arial" w:cs="Arial"/>
          <w:sz w:val="20"/>
          <w:szCs w:val="20"/>
        </w:rPr>
        <w:t xml:space="preserve">failure to make satisfactory course progress in accordance with the </w:t>
      </w:r>
      <w:hyperlink r:id="rId10" w:history="1">
        <w:r w:rsidR="00F74DC9" w:rsidRPr="00F74DC9">
          <w:rPr>
            <w:rStyle w:val="Hyperlink"/>
            <w:rFonts w:ascii="Arial" w:hAnsi="Arial" w:cs="Arial"/>
            <w:sz w:val="20"/>
            <w:szCs w:val="20"/>
          </w:rPr>
          <w:t>Student Course Progress (VET) Policy and Procedure</w:t>
        </w:r>
      </w:hyperlink>
      <w:r w:rsidR="00263301" w:rsidRPr="00F74DC9">
        <w:rPr>
          <w:rFonts w:ascii="Arial" w:hAnsi="Arial" w:cs="Arial"/>
          <w:sz w:val="20"/>
          <w:szCs w:val="20"/>
        </w:rPr>
        <w:t>.</w:t>
      </w:r>
    </w:p>
    <w:p w14:paraId="39A302D4" w14:textId="245B9232" w:rsidR="00092198" w:rsidRDefault="00092198" w:rsidP="0083731A">
      <w:pPr>
        <w:shd w:val="clear" w:color="auto" w:fill="FFFFFF"/>
        <w:ind w:left="720" w:hanging="720"/>
        <w:rPr>
          <w:rFonts w:ascii="Arial" w:hAnsi="Arial" w:cs="Arial"/>
          <w:sz w:val="20"/>
          <w:szCs w:val="20"/>
        </w:rPr>
      </w:pPr>
    </w:p>
    <w:p w14:paraId="68043F16" w14:textId="77777777" w:rsidR="0083731A" w:rsidRPr="006531B1" w:rsidRDefault="0083731A" w:rsidP="0083731A">
      <w:pPr>
        <w:shd w:val="clear" w:color="auto" w:fill="FFFFFF"/>
        <w:ind w:left="720" w:hanging="720"/>
        <w:rPr>
          <w:rFonts w:ascii="Arial" w:hAnsi="Arial" w:cs="Arial"/>
          <w:sz w:val="20"/>
          <w:szCs w:val="20"/>
        </w:rPr>
      </w:pPr>
    </w:p>
    <w:p w14:paraId="22B12D9C" w14:textId="05F50E4E" w:rsidR="008765E7" w:rsidRPr="006531B1" w:rsidRDefault="00DF0ACF" w:rsidP="0083731A">
      <w:pPr>
        <w:pStyle w:val="BodyText2"/>
        <w:numPr>
          <w:ilvl w:val="0"/>
          <w:numId w:val="1"/>
        </w:numPr>
        <w:spacing w:after="0" w:line="240" w:lineRule="auto"/>
        <w:outlineLvl w:val="0"/>
        <w:rPr>
          <w:rFonts w:ascii="Arial" w:hAnsi="Arial" w:cs="Arial"/>
          <w:b/>
          <w:sz w:val="20"/>
          <w:szCs w:val="20"/>
        </w:rPr>
      </w:pPr>
      <w:r w:rsidRPr="006531B1">
        <w:rPr>
          <w:rFonts w:ascii="Arial" w:hAnsi="Arial" w:cs="Arial"/>
          <w:b/>
          <w:sz w:val="20"/>
          <w:szCs w:val="20"/>
        </w:rPr>
        <w:t>Guidelines</w:t>
      </w:r>
    </w:p>
    <w:p w14:paraId="45B788A8" w14:textId="77777777" w:rsidR="002C61C8" w:rsidRPr="006531B1" w:rsidRDefault="002C61C8" w:rsidP="0083731A">
      <w:pPr>
        <w:pStyle w:val="ListParagraph"/>
        <w:tabs>
          <w:tab w:val="left" w:pos="567"/>
        </w:tabs>
        <w:jc w:val="left"/>
        <w:rPr>
          <w:rFonts w:ascii="Arial" w:hAnsi="Arial" w:cs="Arial"/>
          <w:b/>
          <w:sz w:val="20"/>
          <w:szCs w:val="20"/>
        </w:rPr>
      </w:pPr>
    </w:p>
    <w:p w14:paraId="62F07005" w14:textId="72CDFC75" w:rsidR="006671DD" w:rsidRPr="006531B1" w:rsidRDefault="006671DD" w:rsidP="0083731A">
      <w:pPr>
        <w:pStyle w:val="ListParagraph"/>
        <w:numPr>
          <w:ilvl w:val="1"/>
          <w:numId w:val="1"/>
        </w:numPr>
        <w:shd w:val="clear" w:color="auto" w:fill="FFFFFF"/>
        <w:jc w:val="left"/>
        <w:rPr>
          <w:rFonts w:ascii="Arial" w:hAnsi="Arial" w:cs="Arial"/>
          <w:sz w:val="20"/>
          <w:szCs w:val="20"/>
        </w:rPr>
      </w:pPr>
      <w:r w:rsidRPr="006531B1">
        <w:rPr>
          <w:rFonts w:ascii="Arial" w:hAnsi="Arial" w:cs="Arial"/>
          <w:sz w:val="20"/>
          <w:szCs w:val="20"/>
        </w:rPr>
        <w:t xml:space="preserve">All Students who commence a unit of competency in a course of study at EQUALS are expected to make every reasonable effort to attempt all required assessment work (including reattempts) on or before agreed due dates. If there are compelling reasons why a </w:t>
      </w:r>
      <w:r w:rsidR="00E14AEB" w:rsidRPr="006531B1">
        <w:rPr>
          <w:rFonts w:ascii="Arial" w:hAnsi="Arial" w:cs="Arial"/>
          <w:sz w:val="20"/>
          <w:szCs w:val="20"/>
        </w:rPr>
        <w:t>student</w:t>
      </w:r>
      <w:r w:rsidRPr="006531B1">
        <w:rPr>
          <w:rFonts w:ascii="Arial" w:hAnsi="Arial" w:cs="Arial"/>
          <w:sz w:val="20"/>
          <w:szCs w:val="20"/>
        </w:rPr>
        <w:t xml:space="preserve"> may not be able to abide by agreed due dates, they are required to apply for and negotiate assessment extensions prior to the established due </w:t>
      </w:r>
      <w:r w:rsidR="003511D3" w:rsidRPr="006531B1">
        <w:rPr>
          <w:rFonts w:ascii="Arial" w:hAnsi="Arial" w:cs="Arial"/>
          <w:sz w:val="20"/>
          <w:szCs w:val="20"/>
        </w:rPr>
        <w:t>date and</w:t>
      </w:r>
      <w:r w:rsidRPr="006531B1">
        <w:rPr>
          <w:rFonts w:ascii="Arial" w:hAnsi="Arial" w:cs="Arial"/>
          <w:sz w:val="20"/>
          <w:szCs w:val="20"/>
        </w:rPr>
        <w:t xml:space="preserve"> abide by the decision of their unit </w:t>
      </w:r>
      <w:r w:rsidR="00E14AEB">
        <w:rPr>
          <w:rFonts w:ascii="Arial" w:hAnsi="Arial" w:cs="Arial"/>
          <w:sz w:val="20"/>
          <w:szCs w:val="20"/>
        </w:rPr>
        <w:t>e</w:t>
      </w:r>
      <w:r w:rsidR="00E14AEB" w:rsidRPr="006531B1">
        <w:rPr>
          <w:rFonts w:ascii="Arial" w:hAnsi="Arial" w:cs="Arial"/>
          <w:sz w:val="20"/>
          <w:szCs w:val="20"/>
        </w:rPr>
        <w:t>ducator</w:t>
      </w:r>
      <w:r w:rsidRPr="006531B1">
        <w:rPr>
          <w:rFonts w:ascii="Arial" w:hAnsi="Arial" w:cs="Arial"/>
          <w:sz w:val="20"/>
          <w:szCs w:val="20"/>
        </w:rPr>
        <w:t>.</w:t>
      </w:r>
    </w:p>
    <w:p w14:paraId="771F61F5" w14:textId="77777777" w:rsidR="006671DD" w:rsidRPr="006531B1" w:rsidRDefault="006671DD" w:rsidP="0083731A">
      <w:pPr>
        <w:pStyle w:val="ListParagraph"/>
        <w:shd w:val="clear" w:color="auto" w:fill="FFFFFF"/>
        <w:jc w:val="left"/>
        <w:rPr>
          <w:rFonts w:ascii="Arial" w:hAnsi="Arial" w:cs="Arial"/>
          <w:sz w:val="20"/>
          <w:szCs w:val="20"/>
        </w:rPr>
      </w:pPr>
    </w:p>
    <w:p w14:paraId="529355BE" w14:textId="1502886C" w:rsidR="005E0575" w:rsidRPr="006531B1" w:rsidRDefault="006671DD" w:rsidP="0083731A">
      <w:pPr>
        <w:pStyle w:val="ListParagraph"/>
        <w:numPr>
          <w:ilvl w:val="1"/>
          <w:numId w:val="1"/>
        </w:numPr>
        <w:shd w:val="clear" w:color="auto" w:fill="FFFFFF"/>
        <w:jc w:val="left"/>
        <w:rPr>
          <w:rFonts w:ascii="Arial" w:hAnsi="Arial" w:cs="Arial"/>
          <w:sz w:val="20"/>
          <w:szCs w:val="20"/>
        </w:rPr>
      </w:pPr>
      <w:r w:rsidRPr="006531B1">
        <w:rPr>
          <w:rFonts w:ascii="Arial" w:hAnsi="Arial" w:cs="Arial"/>
          <w:sz w:val="20"/>
          <w:szCs w:val="20"/>
        </w:rPr>
        <w:t xml:space="preserve">At the end of each study period, eligible </w:t>
      </w:r>
      <w:r w:rsidR="00E14AEB">
        <w:rPr>
          <w:rFonts w:ascii="Arial" w:hAnsi="Arial" w:cs="Arial"/>
          <w:sz w:val="20"/>
          <w:szCs w:val="20"/>
        </w:rPr>
        <w:t>s</w:t>
      </w:r>
      <w:r w:rsidR="00E14AEB" w:rsidRPr="006531B1">
        <w:rPr>
          <w:rFonts w:ascii="Arial" w:hAnsi="Arial" w:cs="Arial"/>
          <w:sz w:val="20"/>
          <w:szCs w:val="20"/>
        </w:rPr>
        <w:t xml:space="preserve">tudents </w:t>
      </w:r>
      <w:r w:rsidRPr="006531B1">
        <w:rPr>
          <w:rFonts w:ascii="Arial" w:hAnsi="Arial" w:cs="Arial"/>
          <w:sz w:val="20"/>
          <w:szCs w:val="20"/>
        </w:rPr>
        <w:t xml:space="preserve">will be scheduled to re-sit units resulted CNA or otherwise negotiate to complete assessment requirements in consultation with </w:t>
      </w:r>
      <w:r w:rsidR="00C50D44">
        <w:rPr>
          <w:rFonts w:ascii="Arial" w:hAnsi="Arial" w:cs="Arial"/>
          <w:sz w:val="20"/>
          <w:szCs w:val="20"/>
        </w:rPr>
        <w:t>the</w:t>
      </w:r>
      <w:r w:rsidRPr="006531B1">
        <w:rPr>
          <w:rFonts w:ascii="Arial" w:hAnsi="Arial" w:cs="Arial"/>
          <w:sz w:val="20"/>
          <w:szCs w:val="20"/>
        </w:rPr>
        <w:t xml:space="preserve"> </w:t>
      </w:r>
      <w:r w:rsidR="00E14AEB">
        <w:rPr>
          <w:rFonts w:ascii="Arial" w:hAnsi="Arial" w:cs="Arial"/>
          <w:sz w:val="20"/>
          <w:szCs w:val="20"/>
        </w:rPr>
        <w:t>Academic Support Advisor (VET) or Course Coordinator for that qualification</w:t>
      </w:r>
      <w:r w:rsidRPr="006531B1">
        <w:rPr>
          <w:rFonts w:ascii="Arial" w:hAnsi="Arial" w:cs="Arial"/>
          <w:sz w:val="20"/>
          <w:szCs w:val="20"/>
        </w:rPr>
        <w:t>.</w:t>
      </w:r>
    </w:p>
    <w:p w14:paraId="72C8F30C" w14:textId="1C6D8E32" w:rsidR="00DC2277" w:rsidRPr="006531B1" w:rsidRDefault="00DC2277" w:rsidP="0083731A">
      <w:pPr>
        <w:tabs>
          <w:tab w:val="left" w:pos="567"/>
        </w:tabs>
        <w:rPr>
          <w:rFonts w:ascii="Arial" w:hAnsi="Arial" w:cs="Arial"/>
          <w:b/>
          <w:sz w:val="20"/>
          <w:szCs w:val="20"/>
        </w:rPr>
      </w:pPr>
    </w:p>
    <w:p w14:paraId="7FB02C80" w14:textId="25327B9D" w:rsidR="00184D4E" w:rsidRDefault="005F5FBC" w:rsidP="0083731A">
      <w:pPr>
        <w:pStyle w:val="BodyText2"/>
        <w:numPr>
          <w:ilvl w:val="0"/>
          <w:numId w:val="1"/>
        </w:numPr>
        <w:spacing w:after="0" w:line="240" w:lineRule="auto"/>
        <w:outlineLvl w:val="0"/>
        <w:rPr>
          <w:rFonts w:ascii="Arial" w:hAnsi="Arial" w:cs="Arial"/>
          <w:b/>
          <w:sz w:val="20"/>
          <w:szCs w:val="20"/>
        </w:rPr>
      </w:pPr>
      <w:r>
        <w:rPr>
          <w:rFonts w:ascii="Arial" w:hAnsi="Arial" w:cs="Arial"/>
          <w:b/>
          <w:sz w:val="20"/>
          <w:szCs w:val="20"/>
        </w:rPr>
        <w:t>Student Appeals</w:t>
      </w:r>
    </w:p>
    <w:p w14:paraId="7CAAE2FD" w14:textId="77777777" w:rsidR="00184D4E" w:rsidRPr="00184D4E" w:rsidRDefault="00184D4E" w:rsidP="0083731A">
      <w:pPr>
        <w:pStyle w:val="ListParagraph"/>
        <w:shd w:val="clear" w:color="auto" w:fill="FFFFFF"/>
        <w:jc w:val="left"/>
        <w:rPr>
          <w:rFonts w:ascii="Arial" w:hAnsi="Arial" w:cs="Arial"/>
          <w:b/>
          <w:sz w:val="20"/>
          <w:szCs w:val="20"/>
        </w:rPr>
      </w:pPr>
    </w:p>
    <w:p w14:paraId="4C49D7B2" w14:textId="1D38447E" w:rsidR="00184D4E" w:rsidRPr="00184D4E" w:rsidRDefault="005F5FBC" w:rsidP="0083731A">
      <w:pPr>
        <w:pStyle w:val="ListParagraph"/>
        <w:numPr>
          <w:ilvl w:val="1"/>
          <w:numId w:val="1"/>
        </w:numPr>
        <w:shd w:val="clear" w:color="auto" w:fill="FFFFFF"/>
        <w:jc w:val="left"/>
        <w:rPr>
          <w:rFonts w:ascii="Arial" w:hAnsi="Arial" w:cs="Arial"/>
          <w:b/>
          <w:sz w:val="20"/>
          <w:szCs w:val="20"/>
        </w:rPr>
      </w:pPr>
      <w:r w:rsidRPr="00184D4E">
        <w:rPr>
          <w:rFonts w:ascii="Arial" w:hAnsi="Arial" w:cs="Arial"/>
          <w:sz w:val="20"/>
          <w:szCs w:val="20"/>
        </w:rPr>
        <w:t>A grievance process has been established to ensure that student concerns are treated in a transparent, timely and just matter. EQUALS ensures that students have access to a fair and equitable process for dealing with grievances and provides an avenue for students to appeal against decisions that affect their progress</w:t>
      </w:r>
      <w:r w:rsidR="00397CC4" w:rsidRPr="00184D4E">
        <w:rPr>
          <w:rFonts w:ascii="Arial" w:hAnsi="Arial" w:cs="Arial"/>
          <w:sz w:val="20"/>
          <w:szCs w:val="20"/>
        </w:rPr>
        <w:t xml:space="preserve"> (</w:t>
      </w:r>
      <w:hyperlink r:id="rId11" w:history="1">
        <w:r w:rsidRPr="00184D4E">
          <w:rPr>
            <w:rStyle w:val="Hyperlink"/>
            <w:rFonts w:ascii="Arial" w:hAnsi="Arial" w:cs="Arial"/>
            <w:sz w:val="20"/>
            <w:szCs w:val="20"/>
          </w:rPr>
          <w:t>Grievance Handling Policy &amp; Procedure (Academic and Non</w:t>
        </w:r>
        <w:r w:rsidR="00397CC4" w:rsidRPr="00184D4E">
          <w:rPr>
            <w:rStyle w:val="Hyperlink"/>
            <w:rFonts w:ascii="Arial" w:hAnsi="Arial" w:cs="Arial"/>
            <w:sz w:val="20"/>
            <w:szCs w:val="20"/>
          </w:rPr>
          <w:t xml:space="preserve"> </w:t>
        </w:r>
        <w:r w:rsidRPr="00184D4E">
          <w:rPr>
            <w:rStyle w:val="Hyperlink"/>
            <w:rFonts w:ascii="Arial" w:hAnsi="Arial" w:cs="Arial"/>
            <w:sz w:val="20"/>
            <w:szCs w:val="20"/>
          </w:rPr>
          <w:t>Academic)</w:t>
        </w:r>
      </w:hyperlink>
      <w:r w:rsidR="00397CC4" w:rsidRPr="00184D4E">
        <w:rPr>
          <w:rFonts w:ascii="Arial" w:hAnsi="Arial" w:cs="Arial"/>
          <w:sz w:val="20"/>
          <w:szCs w:val="20"/>
        </w:rPr>
        <w:t>)</w:t>
      </w:r>
      <w:r w:rsidRPr="00184D4E">
        <w:rPr>
          <w:rFonts w:ascii="Arial" w:hAnsi="Arial" w:cs="Arial"/>
          <w:sz w:val="20"/>
          <w:szCs w:val="20"/>
        </w:rPr>
        <w:t>.</w:t>
      </w:r>
    </w:p>
    <w:p w14:paraId="27BE92ED" w14:textId="77777777" w:rsidR="00184D4E" w:rsidRPr="00184D4E" w:rsidRDefault="00184D4E" w:rsidP="0083731A">
      <w:pPr>
        <w:pStyle w:val="ListParagraph"/>
        <w:shd w:val="clear" w:color="auto" w:fill="FFFFFF"/>
        <w:jc w:val="left"/>
        <w:rPr>
          <w:rFonts w:ascii="Arial" w:hAnsi="Arial" w:cs="Arial"/>
          <w:b/>
          <w:sz w:val="20"/>
          <w:szCs w:val="20"/>
        </w:rPr>
      </w:pPr>
    </w:p>
    <w:p w14:paraId="1FADCD9F" w14:textId="12A86487" w:rsidR="005F5FBC" w:rsidRPr="00184D4E" w:rsidRDefault="005F5FBC" w:rsidP="0083731A">
      <w:pPr>
        <w:pStyle w:val="ListParagraph"/>
        <w:numPr>
          <w:ilvl w:val="1"/>
          <w:numId w:val="1"/>
        </w:numPr>
        <w:shd w:val="clear" w:color="auto" w:fill="FFFFFF"/>
        <w:jc w:val="left"/>
        <w:rPr>
          <w:rFonts w:ascii="Arial" w:hAnsi="Arial" w:cs="Arial"/>
          <w:b/>
          <w:sz w:val="20"/>
          <w:szCs w:val="20"/>
        </w:rPr>
      </w:pPr>
      <w:r w:rsidRPr="00184D4E">
        <w:rPr>
          <w:rFonts w:ascii="Arial" w:hAnsi="Arial" w:cs="Arial"/>
          <w:sz w:val="20"/>
          <w:szCs w:val="20"/>
        </w:rPr>
        <w:t>Students wishing to lodge a grievance/appeal are requested to</w:t>
      </w:r>
      <w:r w:rsidR="004E4945" w:rsidRPr="00184D4E">
        <w:rPr>
          <w:rFonts w:ascii="Arial" w:hAnsi="Arial" w:cs="Arial"/>
          <w:sz w:val="20"/>
          <w:szCs w:val="20"/>
        </w:rPr>
        <w:t xml:space="preserve"> </w:t>
      </w:r>
      <w:r w:rsidRPr="00184D4E">
        <w:rPr>
          <w:rFonts w:ascii="Arial" w:hAnsi="Arial" w:cs="Arial"/>
          <w:sz w:val="20"/>
          <w:szCs w:val="20"/>
        </w:rPr>
        <w:t xml:space="preserve">do so using the </w:t>
      </w:r>
      <w:hyperlink r:id="rId12" w:history="1">
        <w:r w:rsidRPr="00184D4E">
          <w:rPr>
            <w:rStyle w:val="Hyperlink"/>
            <w:rFonts w:ascii="Arial" w:hAnsi="Arial" w:cs="Arial"/>
            <w:sz w:val="20"/>
            <w:szCs w:val="20"/>
          </w:rPr>
          <w:t>Formal Grievance Form</w:t>
        </w:r>
      </w:hyperlink>
      <w:r w:rsidRPr="00184D4E">
        <w:rPr>
          <w:rFonts w:ascii="Arial" w:hAnsi="Arial" w:cs="Arial"/>
          <w:sz w:val="20"/>
          <w:szCs w:val="20"/>
        </w:rPr>
        <w:t>.</w:t>
      </w:r>
      <w:r w:rsidR="00397CC4" w:rsidRPr="00184D4E">
        <w:rPr>
          <w:rFonts w:ascii="Arial" w:hAnsi="Arial" w:cs="Arial"/>
          <w:sz w:val="20"/>
          <w:szCs w:val="20"/>
        </w:rPr>
        <w:t xml:space="preserve"> </w:t>
      </w:r>
      <w:r w:rsidRPr="00184D4E">
        <w:rPr>
          <w:rFonts w:ascii="Arial" w:hAnsi="Arial" w:cs="Arial"/>
          <w:sz w:val="20"/>
          <w:szCs w:val="20"/>
        </w:rPr>
        <w:t>Should a student wish to appeal a decision or a proposed action,</w:t>
      </w:r>
      <w:r w:rsidR="00397CC4" w:rsidRPr="00184D4E">
        <w:rPr>
          <w:rFonts w:ascii="Arial" w:hAnsi="Arial" w:cs="Arial"/>
          <w:sz w:val="20"/>
          <w:szCs w:val="20"/>
        </w:rPr>
        <w:t xml:space="preserve"> </w:t>
      </w:r>
      <w:r w:rsidRPr="00184D4E">
        <w:rPr>
          <w:rFonts w:ascii="Arial" w:hAnsi="Arial" w:cs="Arial"/>
          <w:sz w:val="20"/>
          <w:szCs w:val="20"/>
        </w:rPr>
        <w:t xml:space="preserve">they will have </w:t>
      </w:r>
      <w:r w:rsidR="00E14AEB">
        <w:rPr>
          <w:rFonts w:ascii="Arial" w:hAnsi="Arial" w:cs="Arial"/>
          <w:sz w:val="20"/>
          <w:szCs w:val="20"/>
        </w:rPr>
        <w:t>28</w:t>
      </w:r>
      <w:r w:rsidRPr="00184D4E">
        <w:rPr>
          <w:rFonts w:ascii="Arial" w:hAnsi="Arial" w:cs="Arial"/>
          <w:sz w:val="20"/>
          <w:szCs w:val="20"/>
        </w:rPr>
        <w:t xml:space="preserve"> days to lodge their appeal.</w:t>
      </w:r>
    </w:p>
    <w:p w14:paraId="3A8EF0BE" w14:textId="28C5F2B6" w:rsidR="005F5FBC" w:rsidRDefault="005F5FBC" w:rsidP="0083731A">
      <w:pPr>
        <w:pStyle w:val="ListParagraph"/>
        <w:shd w:val="clear" w:color="auto" w:fill="FFFFFF"/>
        <w:jc w:val="left"/>
        <w:rPr>
          <w:rFonts w:ascii="Arial" w:hAnsi="Arial" w:cs="Arial"/>
          <w:b/>
          <w:sz w:val="20"/>
          <w:szCs w:val="20"/>
        </w:rPr>
      </w:pPr>
    </w:p>
    <w:p w14:paraId="2BEF93A8" w14:textId="77777777" w:rsidR="005F5FBC" w:rsidRDefault="005F5FBC" w:rsidP="0083731A">
      <w:pPr>
        <w:pStyle w:val="ListParagraph"/>
        <w:shd w:val="clear" w:color="auto" w:fill="FFFFFF"/>
        <w:jc w:val="left"/>
        <w:rPr>
          <w:rFonts w:ascii="Arial" w:hAnsi="Arial" w:cs="Arial"/>
          <w:b/>
          <w:sz w:val="20"/>
          <w:szCs w:val="20"/>
        </w:rPr>
      </w:pPr>
    </w:p>
    <w:p w14:paraId="0631F42C" w14:textId="00AE4C35" w:rsidR="00CC5E39" w:rsidRDefault="00CC5E39" w:rsidP="0083731A">
      <w:pPr>
        <w:pStyle w:val="BodyText2"/>
        <w:numPr>
          <w:ilvl w:val="0"/>
          <w:numId w:val="1"/>
        </w:numPr>
        <w:spacing w:after="0" w:line="240" w:lineRule="auto"/>
        <w:outlineLvl w:val="0"/>
        <w:rPr>
          <w:rFonts w:ascii="Arial" w:hAnsi="Arial" w:cs="Arial"/>
          <w:b/>
          <w:sz w:val="20"/>
          <w:szCs w:val="20"/>
        </w:rPr>
      </w:pPr>
      <w:r w:rsidRPr="006531B1">
        <w:rPr>
          <w:rFonts w:ascii="Arial" w:hAnsi="Arial" w:cs="Arial"/>
          <w:b/>
          <w:sz w:val="20"/>
          <w:szCs w:val="20"/>
        </w:rPr>
        <w:t>Responsibilities</w:t>
      </w:r>
    </w:p>
    <w:p w14:paraId="39AE3E2F" w14:textId="77777777" w:rsidR="0083731A" w:rsidRPr="006531B1" w:rsidRDefault="0083731A" w:rsidP="0083731A">
      <w:pPr>
        <w:pStyle w:val="BodyText2"/>
        <w:spacing w:after="0" w:line="240" w:lineRule="auto"/>
        <w:ind w:left="720"/>
        <w:outlineLvl w:val="0"/>
        <w:rPr>
          <w:rFonts w:ascii="Arial" w:hAnsi="Arial" w:cs="Arial"/>
          <w:b/>
          <w:sz w:val="20"/>
          <w:szCs w:val="20"/>
        </w:rPr>
      </w:pPr>
    </w:p>
    <w:p w14:paraId="16F026F1" w14:textId="77777777" w:rsidR="00CC5E39" w:rsidRPr="006531B1" w:rsidRDefault="00CC5E39" w:rsidP="0083731A">
      <w:pPr>
        <w:tabs>
          <w:tab w:val="left" w:pos="567"/>
        </w:tabs>
        <w:rPr>
          <w:rFonts w:ascii="Arial" w:hAnsi="Arial" w:cs="Arial"/>
          <w:b/>
          <w:sz w:val="20"/>
          <w:szCs w:val="20"/>
        </w:rPr>
      </w:pPr>
      <w:r w:rsidRPr="006531B1">
        <w:rPr>
          <w:rFonts w:ascii="Arial" w:hAnsi="Arial" w:cs="Arial"/>
          <w:b/>
          <w:sz w:val="20"/>
          <w:szCs w:val="20"/>
        </w:rPr>
        <w:tab/>
      </w:r>
      <w:r w:rsidRPr="006531B1">
        <w:rPr>
          <w:rFonts w:ascii="Arial" w:hAnsi="Arial" w:cs="Arial"/>
          <w:b/>
          <w:sz w:val="20"/>
          <w:szCs w:val="20"/>
        </w:rPr>
        <w:tab/>
        <w:t>Compliance, monitoring and review</w:t>
      </w:r>
    </w:p>
    <w:p w14:paraId="2F971986" w14:textId="1E76E1F0" w:rsidR="006335F5" w:rsidRPr="006531B1" w:rsidRDefault="0083731A" w:rsidP="0083731A">
      <w:pPr>
        <w:pStyle w:val="NoSpacing"/>
        <w:numPr>
          <w:ilvl w:val="0"/>
          <w:numId w:val="2"/>
        </w:numPr>
        <w:rPr>
          <w:rFonts w:cs="Arial"/>
          <w:szCs w:val="20"/>
        </w:rPr>
      </w:pPr>
      <w:r>
        <w:rPr>
          <w:rFonts w:cs="Arial"/>
          <w:szCs w:val="20"/>
        </w:rPr>
        <w:t>This policy a</w:t>
      </w:r>
      <w:r w:rsidR="006335F5" w:rsidRPr="006531B1">
        <w:rPr>
          <w:rFonts w:cs="Arial"/>
          <w:szCs w:val="20"/>
        </w:rPr>
        <w:t>ligns with relevant legislation, government policy and EQUALS values.</w:t>
      </w:r>
    </w:p>
    <w:p w14:paraId="53351235" w14:textId="6EE77C43" w:rsidR="00F308A2" w:rsidRPr="006531B1" w:rsidRDefault="00F308A2" w:rsidP="0083731A">
      <w:pPr>
        <w:pStyle w:val="NoSpacing"/>
        <w:numPr>
          <w:ilvl w:val="0"/>
          <w:numId w:val="2"/>
        </w:numPr>
        <w:rPr>
          <w:rFonts w:cs="Arial"/>
          <w:szCs w:val="20"/>
        </w:rPr>
      </w:pPr>
      <w:r w:rsidRPr="006531B1">
        <w:rPr>
          <w:rFonts w:cs="Arial"/>
          <w:szCs w:val="20"/>
        </w:rPr>
        <w:t>I</w:t>
      </w:r>
      <w:r w:rsidR="0083731A">
        <w:rPr>
          <w:rFonts w:cs="Arial"/>
          <w:szCs w:val="20"/>
        </w:rPr>
        <w:t>t i</w:t>
      </w:r>
      <w:r w:rsidRPr="006531B1">
        <w:rPr>
          <w:rFonts w:cs="Arial"/>
          <w:szCs w:val="20"/>
        </w:rPr>
        <w:t>s implemented and monitored to reflect the changing policy environment and emerging issues identified.</w:t>
      </w:r>
    </w:p>
    <w:p w14:paraId="2E3E9E62" w14:textId="6090B143" w:rsidR="00F308A2" w:rsidRPr="006531B1" w:rsidRDefault="00F308A2" w:rsidP="0083731A">
      <w:pPr>
        <w:pStyle w:val="NoSpacing"/>
        <w:numPr>
          <w:ilvl w:val="0"/>
          <w:numId w:val="2"/>
        </w:numPr>
        <w:rPr>
          <w:rFonts w:cs="Arial"/>
          <w:szCs w:val="20"/>
        </w:rPr>
      </w:pPr>
      <w:r w:rsidRPr="006531B1">
        <w:rPr>
          <w:rFonts w:cs="Arial"/>
          <w:szCs w:val="20"/>
        </w:rPr>
        <w:t>I</w:t>
      </w:r>
      <w:r w:rsidR="0083731A">
        <w:rPr>
          <w:rFonts w:cs="Arial"/>
          <w:szCs w:val="20"/>
        </w:rPr>
        <w:t>t i</w:t>
      </w:r>
      <w:r w:rsidRPr="006531B1">
        <w:rPr>
          <w:rFonts w:cs="Arial"/>
          <w:szCs w:val="20"/>
        </w:rPr>
        <w:t>s reviewed to evaluate its continuing effectiveness in achieving its purpose and remaining relevant.</w:t>
      </w:r>
    </w:p>
    <w:p w14:paraId="42151482" w14:textId="77777777" w:rsidR="00DC2277" w:rsidRPr="006531B1" w:rsidRDefault="00DC2277" w:rsidP="0083731A">
      <w:pPr>
        <w:pStyle w:val="NoSpacing"/>
        <w:ind w:left="1440"/>
        <w:rPr>
          <w:rFonts w:cs="Arial"/>
          <w:szCs w:val="20"/>
        </w:rPr>
      </w:pPr>
    </w:p>
    <w:p w14:paraId="21B477FE" w14:textId="77777777" w:rsidR="005E0575" w:rsidRPr="006531B1" w:rsidRDefault="005E0575" w:rsidP="0083731A">
      <w:pPr>
        <w:pStyle w:val="NoSpacing"/>
        <w:ind w:left="1440"/>
        <w:rPr>
          <w:rFonts w:cs="Arial"/>
          <w:szCs w:val="20"/>
        </w:rPr>
      </w:pPr>
    </w:p>
    <w:p w14:paraId="0BE9E9A0" w14:textId="737FBAF8" w:rsidR="00CC5E39" w:rsidRPr="006531B1" w:rsidRDefault="00CC5E39" w:rsidP="0083731A">
      <w:pPr>
        <w:pStyle w:val="BodyText2"/>
        <w:numPr>
          <w:ilvl w:val="0"/>
          <w:numId w:val="1"/>
        </w:numPr>
        <w:spacing w:after="0" w:line="240" w:lineRule="auto"/>
        <w:outlineLvl w:val="0"/>
        <w:rPr>
          <w:rFonts w:ascii="Arial" w:hAnsi="Arial" w:cs="Arial"/>
          <w:b/>
          <w:sz w:val="20"/>
          <w:szCs w:val="20"/>
        </w:rPr>
      </w:pPr>
      <w:r w:rsidRPr="006531B1">
        <w:rPr>
          <w:rFonts w:ascii="Arial" w:hAnsi="Arial" w:cs="Arial"/>
          <w:b/>
          <w:sz w:val="20"/>
          <w:szCs w:val="20"/>
        </w:rPr>
        <w:t>Definitions</w:t>
      </w:r>
    </w:p>
    <w:p w14:paraId="157E3410" w14:textId="057B8841" w:rsidR="00E301A4" w:rsidRPr="006531B1" w:rsidRDefault="00E301A4" w:rsidP="0083731A">
      <w:pPr>
        <w:pStyle w:val="ListParagraph"/>
        <w:snapToGrid w:val="0"/>
        <w:ind w:left="709"/>
        <w:jc w:val="left"/>
        <w:rPr>
          <w:rFonts w:ascii="Arial" w:hAnsi="Arial" w:cs="Arial"/>
          <w:b/>
          <w:sz w:val="20"/>
          <w:szCs w:val="20"/>
        </w:rPr>
      </w:pPr>
    </w:p>
    <w:p w14:paraId="1C135D13" w14:textId="28EC78D2" w:rsidR="002B5139" w:rsidRPr="006531B1" w:rsidRDefault="002B5139" w:rsidP="0083731A">
      <w:pPr>
        <w:pStyle w:val="ListParagraph"/>
        <w:snapToGrid w:val="0"/>
        <w:ind w:left="709"/>
        <w:jc w:val="left"/>
        <w:rPr>
          <w:rFonts w:ascii="Arial" w:hAnsi="Arial" w:cs="Arial"/>
          <w:sz w:val="20"/>
          <w:szCs w:val="20"/>
        </w:rPr>
      </w:pPr>
      <w:r w:rsidRPr="006531B1">
        <w:rPr>
          <w:rFonts w:ascii="Arial" w:hAnsi="Arial" w:cs="Arial"/>
          <w:b/>
          <w:sz w:val="20"/>
          <w:szCs w:val="20"/>
        </w:rPr>
        <w:t>Assessment task:</w:t>
      </w:r>
      <w:r w:rsidRPr="006531B1">
        <w:rPr>
          <w:rFonts w:ascii="Arial" w:hAnsi="Arial" w:cs="Arial"/>
          <w:sz w:val="20"/>
          <w:szCs w:val="20"/>
        </w:rPr>
        <w:t xml:space="preserve"> a formative or summative assessment task (whether written, oral, practical or otherwise) contributing to the overall assessment of competency for a Unit of Competency and which is to be formally submitted for marking.</w:t>
      </w:r>
    </w:p>
    <w:p w14:paraId="645E4F19" w14:textId="77777777" w:rsidR="000F2014" w:rsidRPr="006531B1" w:rsidRDefault="000F2014" w:rsidP="0083731A">
      <w:pPr>
        <w:pStyle w:val="ListParagraph"/>
        <w:snapToGrid w:val="0"/>
        <w:ind w:left="709"/>
        <w:jc w:val="left"/>
        <w:rPr>
          <w:rFonts w:ascii="Arial" w:hAnsi="Arial" w:cs="Arial"/>
          <w:sz w:val="20"/>
          <w:szCs w:val="20"/>
        </w:rPr>
      </w:pPr>
    </w:p>
    <w:p w14:paraId="5B268AD7" w14:textId="77777777" w:rsidR="00C15D5F" w:rsidRPr="00996B0C" w:rsidRDefault="000F2014" w:rsidP="0083731A">
      <w:pPr>
        <w:pStyle w:val="ListParagraph"/>
        <w:shd w:val="clear" w:color="auto" w:fill="FFFFFF"/>
        <w:jc w:val="left"/>
        <w:rPr>
          <w:rFonts w:ascii="Arial" w:hAnsi="Arial" w:cs="Arial"/>
          <w:sz w:val="20"/>
          <w:szCs w:val="20"/>
        </w:rPr>
      </w:pPr>
      <w:r w:rsidRPr="006531B1">
        <w:rPr>
          <w:rFonts w:ascii="Arial" w:hAnsi="Arial" w:cs="Arial"/>
          <w:b/>
          <w:sz w:val="20"/>
          <w:szCs w:val="20"/>
        </w:rPr>
        <w:t>Competency Not Achieved:</w:t>
      </w:r>
      <w:r w:rsidRPr="006531B1">
        <w:rPr>
          <w:rFonts w:ascii="Arial" w:hAnsi="Arial" w:cs="Arial"/>
          <w:sz w:val="20"/>
          <w:szCs w:val="20"/>
        </w:rPr>
        <w:t xml:space="preserve"> </w:t>
      </w:r>
      <w:r w:rsidR="00C15D5F" w:rsidRPr="00996B0C">
        <w:rPr>
          <w:rFonts w:ascii="Arial" w:hAnsi="Arial" w:cs="Arial"/>
          <w:sz w:val="20"/>
          <w:szCs w:val="20"/>
        </w:rPr>
        <w:t>The student has attempted all of the requirements for assessment and has been assessed as not competent, or as not satisfying one or more of the requirements for the unit of competency or module. The student must attempt all assessments in order to receive a ‘Competency not achieved/fail’ result. Non-attempts are not grounds for determining competency not achieved.</w:t>
      </w:r>
    </w:p>
    <w:p w14:paraId="2DE67599" w14:textId="784A72E4" w:rsidR="002B5139" w:rsidRPr="006531B1" w:rsidRDefault="002B5139" w:rsidP="0083731A">
      <w:pPr>
        <w:pStyle w:val="ListParagraph"/>
        <w:snapToGrid w:val="0"/>
        <w:ind w:left="709"/>
        <w:jc w:val="left"/>
        <w:rPr>
          <w:rFonts w:ascii="Arial" w:hAnsi="Arial" w:cs="Arial"/>
          <w:sz w:val="20"/>
          <w:szCs w:val="20"/>
        </w:rPr>
      </w:pPr>
    </w:p>
    <w:p w14:paraId="7D3A444C" w14:textId="61253ED8" w:rsidR="002B5139" w:rsidRPr="006531B1" w:rsidRDefault="002B5139" w:rsidP="0083731A">
      <w:pPr>
        <w:pStyle w:val="ListParagraph"/>
        <w:snapToGrid w:val="0"/>
        <w:ind w:left="709"/>
        <w:jc w:val="left"/>
        <w:rPr>
          <w:rFonts w:ascii="Arial" w:hAnsi="Arial" w:cs="Arial"/>
          <w:sz w:val="20"/>
          <w:szCs w:val="20"/>
        </w:rPr>
      </w:pPr>
      <w:r w:rsidRPr="006531B1">
        <w:rPr>
          <w:rFonts w:ascii="Arial" w:hAnsi="Arial" w:cs="Arial"/>
          <w:b/>
          <w:sz w:val="20"/>
          <w:szCs w:val="20"/>
        </w:rPr>
        <w:t>Due date</w:t>
      </w:r>
      <w:r w:rsidR="00475BBB" w:rsidRPr="006531B1">
        <w:rPr>
          <w:rFonts w:ascii="Arial" w:hAnsi="Arial" w:cs="Arial"/>
          <w:b/>
          <w:sz w:val="20"/>
          <w:szCs w:val="20"/>
        </w:rPr>
        <w:t>:</w:t>
      </w:r>
      <w:r w:rsidRPr="006531B1">
        <w:rPr>
          <w:rFonts w:ascii="Arial" w:hAnsi="Arial" w:cs="Arial"/>
          <w:sz w:val="20"/>
          <w:szCs w:val="20"/>
        </w:rPr>
        <w:t xml:space="preserve"> the date on or before which a </w:t>
      </w:r>
      <w:r w:rsidR="00E14AEB" w:rsidRPr="006531B1">
        <w:rPr>
          <w:rFonts w:ascii="Arial" w:hAnsi="Arial" w:cs="Arial"/>
          <w:sz w:val="20"/>
          <w:szCs w:val="20"/>
        </w:rPr>
        <w:t>student</w:t>
      </w:r>
      <w:r w:rsidRPr="006531B1">
        <w:rPr>
          <w:rFonts w:ascii="Arial" w:hAnsi="Arial" w:cs="Arial"/>
          <w:sz w:val="20"/>
          <w:szCs w:val="20"/>
        </w:rPr>
        <w:t xml:space="preserve"> must complete an attempt at a given assessment task to avoid potential penalty. The due date is negotiated and agreed upon between the Student and Educator and/or Student Services.</w:t>
      </w:r>
    </w:p>
    <w:p w14:paraId="5D78D19E" w14:textId="3780FD54" w:rsidR="002B5139" w:rsidRPr="006531B1" w:rsidRDefault="002B5139" w:rsidP="0083731A">
      <w:pPr>
        <w:pStyle w:val="ListParagraph"/>
        <w:snapToGrid w:val="0"/>
        <w:ind w:left="709"/>
        <w:jc w:val="left"/>
        <w:rPr>
          <w:rFonts w:ascii="Arial" w:hAnsi="Arial" w:cs="Arial"/>
          <w:b/>
          <w:sz w:val="20"/>
          <w:szCs w:val="20"/>
        </w:rPr>
      </w:pPr>
    </w:p>
    <w:p w14:paraId="60871843" w14:textId="77777777" w:rsidR="000F2014" w:rsidRPr="006531B1" w:rsidRDefault="000F2014" w:rsidP="0083731A">
      <w:pPr>
        <w:pStyle w:val="ListParagraph"/>
        <w:snapToGrid w:val="0"/>
        <w:ind w:left="709"/>
        <w:jc w:val="left"/>
        <w:rPr>
          <w:rFonts w:ascii="Arial" w:hAnsi="Arial" w:cs="Arial"/>
          <w:sz w:val="20"/>
          <w:szCs w:val="20"/>
        </w:rPr>
      </w:pPr>
      <w:r w:rsidRPr="006531B1">
        <w:rPr>
          <w:rFonts w:ascii="Arial" w:hAnsi="Arial" w:cs="Arial"/>
          <w:b/>
          <w:sz w:val="20"/>
          <w:szCs w:val="20"/>
        </w:rPr>
        <w:t xml:space="preserve">Engagement in the Assessment process </w:t>
      </w:r>
      <w:r w:rsidRPr="006531B1">
        <w:rPr>
          <w:rFonts w:ascii="Arial" w:hAnsi="Arial" w:cs="Arial"/>
          <w:sz w:val="20"/>
          <w:szCs w:val="20"/>
        </w:rPr>
        <w:t>includes:</w:t>
      </w:r>
    </w:p>
    <w:p w14:paraId="39BAB402" w14:textId="77777777" w:rsidR="000F2014" w:rsidRPr="006531B1" w:rsidRDefault="000F2014"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failure to attempt by due date without requesting extension; or</w:t>
      </w:r>
    </w:p>
    <w:p w14:paraId="4A987942" w14:textId="77777777" w:rsidR="000F2014" w:rsidRPr="006531B1" w:rsidRDefault="000F2014"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failure to attempt by due date without requesting deferral or withdrawal; or</w:t>
      </w:r>
    </w:p>
    <w:p w14:paraId="5670AC39" w14:textId="77777777" w:rsidR="000F2014" w:rsidRPr="006531B1" w:rsidRDefault="000F2014"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failure to reattempt NYS attempts by negotiated timeframes</w:t>
      </w:r>
    </w:p>
    <w:p w14:paraId="3B8BD8FB" w14:textId="77777777" w:rsidR="000F2014" w:rsidRPr="006531B1" w:rsidRDefault="000F2014" w:rsidP="0083731A">
      <w:pPr>
        <w:pStyle w:val="ListParagraph"/>
        <w:snapToGrid w:val="0"/>
        <w:ind w:left="709"/>
        <w:jc w:val="left"/>
        <w:rPr>
          <w:rFonts w:ascii="Arial" w:hAnsi="Arial" w:cs="Arial"/>
          <w:b/>
          <w:sz w:val="20"/>
          <w:szCs w:val="20"/>
        </w:rPr>
      </w:pPr>
    </w:p>
    <w:p w14:paraId="578B044F" w14:textId="77777777" w:rsidR="00E120E5" w:rsidRPr="006531B1" w:rsidRDefault="00E120E5" w:rsidP="0083731A">
      <w:pPr>
        <w:pStyle w:val="ListParagraph"/>
        <w:snapToGrid w:val="0"/>
        <w:ind w:left="709"/>
        <w:jc w:val="left"/>
        <w:rPr>
          <w:rFonts w:ascii="Arial" w:hAnsi="Arial" w:cs="Arial"/>
          <w:sz w:val="20"/>
          <w:szCs w:val="20"/>
        </w:rPr>
      </w:pPr>
      <w:r w:rsidRPr="006531B1">
        <w:rPr>
          <w:rFonts w:ascii="Arial" w:hAnsi="Arial" w:cs="Arial"/>
          <w:b/>
          <w:sz w:val="20"/>
          <w:szCs w:val="20"/>
        </w:rPr>
        <w:t>Student</w:t>
      </w:r>
      <w:r w:rsidRPr="006531B1">
        <w:rPr>
          <w:rFonts w:ascii="Arial" w:hAnsi="Arial" w:cs="Arial"/>
          <w:sz w:val="20"/>
          <w:szCs w:val="20"/>
        </w:rPr>
        <w:t>: a person enrolled in a formal course of learning.</w:t>
      </w:r>
    </w:p>
    <w:p w14:paraId="5F98901F" w14:textId="77777777" w:rsidR="00E120E5" w:rsidRPr="006531B1" w:rsidRDefault="00E120E5" w:rsidP="0083731A">
      <w:pPr>
        <w:pStyle w:val="ListParagraph"/>
        <w:snapToGrid w:val="0"/>
        <w:ind w:left="709"/>
        <w:jc w:val="left"/>
        <w:rPr>
          <w:rFonts w:ascii="Arial" w:hAnsi="Arial" w:cs="Arial"/>
          <w:b/>
          <w:sz w:val="20"/>
          <w:szCs w:val="20"/>
        </w:rPr>
      </w:pPr>
    </w:p>
    <w:p w14:paraId="6A835801" w14:textId="1798E512" w:rsidR="00BF473A" w:rsidRPr="006531B1" w:rsidRDefault="00BF473A" w:rsidP="0083731A">
      <w:pPr>
        <w:pStyle w:val="ListParagraph"/>
        <w:snapToGrid w:val="0"/>
        <w:ind w:left="709"/>
        <w:jc w:val="left"/>
        <w:rPr>
          <w:rFonts w:ascii="Arial" w:hAnsi="Arial" w:cs="Arial"/>
          <w:b/>
          <w:sz w:val="20"/>
          <w:szCs w:val="20"/>
        </w:rPr>
      </w:pPr>
      <w:r w:rsidRPr="006531B1">
        <w:rPr>
          <w:rFonts w:ascii="Arial" w:hAnsi="Arial" w:cs="Arial"/>
          <w:b/>
          <w:sz w:val="20"/>
          <w:szCs w:val="20"/>
        </w:rPr>
        <w:t xml:space="preserve">Training activity </w:t>
      </w:r>
      <w:r w:rsidRPr="006531B1">
        <w:rPr>
          <w:rFonts w:ascii="Arial" w:hAnsi="Arial" w:cs="Arial"/>
          <w:sz w:val="20"/>
          <w:szCs w:val="20"/>
        </w:rPr>
        <w:t>is defined as any of the following:</w:t>
      </w:r>
    </w:p>
    <w:p w14:paraId="39A2CD3D" w14:textId="65CEC405" w:rsidR="00BF473A" w:rsidRPr="006531B1" w:rsidRDefault="00BF473A"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Commencement in online learning modules (access granted and unit commenced with no request for deferral or withdrawal); or</w:t>
      </w:r>
    </w:p>
    <w:p w14:paraId="35A88097" w14:textId="480EBE3A" w:rsidR="00BF473A" w:rsidRPr="006531B1" w:rsidRDefault="00BF473A"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Class attendance; or</w:t>
      </w:r>
    </w:p>
    <w:p w14:paraId="1C59FC1F" w14:textId="5B5837D3" w:rsidR="00BF473A" w:rsidRPr="006531B1" w:rsidRDefault="00BF473A"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Submission of assessment work; or</w:t>
      </w:r>
    </w:p>
    <w:p w14:paraId="13C0100E" w14:textId="792015F9" w:rsidR="00BF473A" w:rsidRPr="006531B1" w:rsidRDefault="00BF473A" w:rsidP="0083731A">
      <w:pPr>
        <w:pStyle w:val="ListParagraph"/>
        <w:numPr>
          <w:ilvl w:val="0"/>
          <w:numId w:val="4"/>
        </w:numPr>
        <w:shd w:val="clear" w:color="auto" w:fill="FFFFFF"/>
        <w:ind w:left="1418"/>
        <w:jc w:val="left"/>
        <w:rPr>
          <w:rFonts w:ascii="Arial" w:hAnsi="Arial" w:cs="Arial"/>
          <w:sz w:val="20"/>
          <w:szCs w:val="20"/>
        </w:rPr>
      </w:pPr>
      <w:r w:rsidRPr="006531B1">
        <w:rPr>
          <w:rFonts w:ascii="Arial" w:hAnsi="Arial" w:cs="Arial"/>
          <w:sz w:val="20"/>
          <w:szCs w:val="20"/>
        </w:rPr>
        <w:t>RPL/CT applications, meetings</w:t>
      </w:r>
    </w:p>
    <w:p w14:paraId="5E89BBF1" w14:textId="38C94BC6" w:rsidR="00BF473A" w:rsidRPr="006531B1" w:rsidRDefault="00BF473A" w:rsidP="0083731A">
      <w:pPr>
        <w:pStyle w:val="ListParagraph"/>
        <w:snapToGrid w:val="0"/>
        <w:ind w:left="709"/>
        <w:jc w:val="left"/>
        <w:rPr>
          <w:rFonts w:ascii="Arial" w:hAnsi="Arial" w:cs="Arial"/>
          <w:b/>
          <w:sz w:val="20"/>
          <w:szCs w:val="20"/>
        </w:rPr>
      </w:pPr>
    </w:p>
    <w:p w14:paraId="0F61A1D1" w14:textId="77777777" w:rsidR="000F2014" w:rsidRPr="006531B1" w:rsidRDefault="000F2014" w:rsidP="0083731A">
      <w:pPr>
        <w:pStyle w:val="ListParagraph"/>
        <w:snapToGrid w:val="0"/>
        <w:ind w:left="709"/>
        <w:jc w:val="left"/>
        <w:rPr>
          <w:rFonts w:ascii="Arial" w:hAnsi="Arial" w:cs="Arial"/>
          <w:sz w:val="20"/>
          <w:szCs w:val="20"/>
        </w:rPr>
      </w:pPr>
      <w:r w:rsidRPr="006531B1">
        <w:rPr>
          <w:rFonts w:ascii="Arial" w:hAnsi="Arial" w:cs="Arial"/>
          <w:b/>
          <w:sz w:val="20"/>
          <w:szCs w:val="20"/>
        </w:rPr>
        <w:t xml:space="preserve">Unit of Competency: </w:t>
      </w:r>
      <w:r w:rsidRPr="006531B1">
        <w:rPr>
          <w:rFonts w:ascii="Arial" w:hAnsi="Arial" w:cs="Arial"/>
          <w:sz w:val="20"/>
          <w:szCs w:val="20"/>
        </w:rPr>
        <w:t>the specification of knowledge and skill, and the application of that knowledge and skill, to the standard of performance expected in the workplace. A unit of competency is the smallest unit that can be assessed and formally recognised in accredited training.</w:t>
      </w:r>
    </w:p>
    <w:p w14:paraId="5514F5FB" w14:textId="77777777" w:rsidR="000F2014" w:rsidRPr="006531B1" w:rsidRDefault="000F2014" w:rsidP="0083731A">
      <w:pPr>
        <w:pStyle w:val="ListParagraph"/>
        <w:snapToGrid w:val="0"/>
        <w:ind w:left="709"/>
        <w:jc w:val="left"/>
        <w:rPr>
          <w:rFonts w:ascii="Arial" w:hAnsi="Arial" w:cs="Arial"/>
          <w:b/>
          <w:sz w:val="20"/>
          <w:szCs w:val="20"/>
        </w:rPr>
      </w:pPr>
    </w:p>
    <w:p w14:paraId="7A86BA8D" w14:textId="63C98652" w:rsidR="009B7D64" w:rsidRDefault="00F259E4" w:rsidP="0083731A">
      <w:pPr>
        <w:pStyle w:val="ListParagraph"/>
        <w:snapToGrid w:val="0"/>
        <w:ind w:left="709"/>
        <w:jc w:val="left"/>
        <w:rPr>
          <w:rFonts w:ascii="Arial" w:hAnsi="Arial" w:cs="Arial"/>
          <w:i/>
          <w:color w:val="5B9BD5" w:themeColor="accent1"/>
          <w:sz w:val="20"/>
          <w:szCs w:val="20"/>
        </w:rPr>
      </w:pPr>
      <w:r w:rsidRPr="001F560E">
        <w:rPr>
          <w:rFonts w:ascii="Arial" w:hAnsi="Arial" w:cs="Arial"/>
          <w:sz w:val="20"/>
          <w:szCs w:val="20"/>
        </w:rPr>
        <w:t xml:space="preserve">Terms not defined in this document may be in the </w:t>
      </w:r>
      <w:hyperlink r:id="rId13" w:history="1">
        <w:r w:rsidRPr="001F560E">
          <w:rPr>
            <w:rStyle w:val="Hyperlink"/>
            <w:rFonts w:ascii="Arial" w:hAnsi="Arial" w:cs="Arial"/>
            <w:sz w:val="20"/>
            <w:szCs w:val="20"/>
          </w:rPr>
          <w:t>EQUALS Glossary</w:t>
        </w:r>
      </w:hyperlink>
      <w:r w:rsidRPr="001F560E">
        <w:rPr>
          <w:rFonts w:ascii="Arial" w:hAnsi="Arial" w:cs="Arial"/>
          <w:color w:val="0000FF"/>
          <w:sz w:val="20"/>
          <w:szCs w:val="20"/>
        </w:rPr>
        <w:t xml:space="preserve"> </w:t>
      </w:r>
      <w:hyperlink r:id="rId14" w:history="1">
        <w:r w:rsidR="007B7C53">
          <w:rPr>
            <w:rStyle w:val="Hyperlink"/>
            <w:rFonts w:ascii="Arial" w:hAnsi="Arial" w:cs="Arial"/>
            <w:i/>
            <w:sz w:val="20"/>
            <w:szCs w:val="20"/>
          </w:rPr>
          <w:t>https://equals.novacore.cloud/doc?doc_no=57900916</w:t>
        </w:r>
      </w:hyperlink>
      <w:r w:rsidRPr="00086B12">
        <w:rPr>
          <w:rFonts w:ascii="Arial" w:hAnsi="Arial" w:cs="Arial"/>
          <w:i/>
          <w:color w:val="5B9BD5" w:themeColor="accent1"/>
          <w:sz w:val="20"/>
          <w:szCs w:val="20"/>
        </w:rPr>
        <w:t xml:space="preserve"> </w:t>
      </w:r>
    </w:p>
    <w:p w14:paraId="1A2CB780" w14:textId="359A4646" w:rsidR="00F259E4" w:rsidRPr="00086B12" w:rsidRDefault="00F259E4" w:rsidP="0083731A">
      <w:pPr>
        <w:pStyle w:val="ListParagraph"/>
        <w:snapToGrid w:val="0"/>
        <w:ind w:left="709"/>
        <w:jc w:val="left"/>
        <w:rPr>
          <w:rFonts w:ascii="Arial" w:hAnsi="Arial" w:cs="Arial"/>
          <w:i/>
          <w:color w:val="5B9BD5" w:themeColor="accent1"/>
          <w:sz w:val="20"/>
          <w:szCs w:val="20"/>
        </w:rPr>
      </w:pPr>
      <w:r w:rsidRPr="00086B12">
        <w:rPr>
          <w:rFonts w:ascii="Arial" w:hAnsi="Arial" w:cs="Arial"/>
          <w:i/>
          <w:color w:val="5B9BD5" w:themeColor="accent1"/>
          <w:sz w:val="20"/>
          <w:szCs w:val="20"/>
        </w:rPr>
        <w:t xml:space="preserve"> </w:t>
      </w:r>
    </w:p>
    <w:p w14:paraId="323E46BE" w14:textId="77777777" w:rsidR="00F259E4" w:rsidRPr="00EE617F" w:rsidRDefault="00F259E4" w:rsidP="0083731A">
      <w:pPr>
        <w:pStyle w:val="ListParagraph"/>
        <w:snapToGrid w:val="0"/>
        <w:ind w:left="709"/>
        <w:jc w:val="left"/>
        <w:rPr>
          <w:rFonts w:ascii="Arial" w:hAnsi="Arial" w:cs="Arial"/>
          <w:color w:val="000000" w:themeColor="text1"/>
          <w:sz w:val="20"/>
          <w:szCs w:val="20"/>
        </w:rPr>
      </w:pPr>
    </w:p>
    <w:p w14:paraId="2ED4F2C0" w14:textId="29ED3C45" w:rsidR="006B68F9" w:rsidRDefault="00403053" w:rsidP="0083731A">
      <w:pPr>
        <w:pStyle w:val="BodyText2"/>
        <w:numPr>
          <w:ilvl w:val="0"/>
          <w:numId w:val="1"/>
        </w:numPr>
        <w:spacing w:after="0" w:line="240" w:lineRule="auto"/>
        <w:outlineLvl w:val="0"/>
        <w:rPr>
          <w:rFonts w:ascii="Arial" w:hAnsi="Arial" w:cs="Arial"/>
          <w:b/>
          <w:sz w:val="20"/>
          <w:szCs w:val="20"/>
        </w:rPr>
      </w:pPr>
      <w:r w:rsidRPr="00EE617F">
        <w:rPr>
          <w:rFonts w:ascii="Arial" w:hAnsi="Arial" w:cs="Arial"/>
          <w:b/>
          <w:sz w:val="20"/>
          <w:szCs w:val="20"/>
        </w:rPr>
        <w:t>Approval and Amendment H</w:t>
      </w:r>
      <w:r w:rsidR="00161BE4" w:rsidRPr="00EE617F">
        <w:rPr>
          <w:rFonts w:ascii="Arial" w:hAnsi="Arial" w:cs="Arial"/>
          <w:b/>
          <w:sz w:val="20"/>
          <w:szCs w:val="20"/>
        </w:rPr>
        <w:t>istory</w:t>
      </w:r>
    </w:p>
    <w:p w14:paraId="0D2DF03F" w14:textId="77777777" w:rsidR="0083731A" w:rsidRPr="00EE617F" w:rsidRDefault="0083731A" w:rsidP="0083731A">
      <w:pPr>
        <w:pStyle w:val="BodyText2"/>
        <w:spacing w:after="0" w:line="240" w:lineRule="auto"/>
        <w:ind w:left="720"/>
        <w:outlineLvl w:val="0"/>
        <w:rPr>
          <w:rFonts w:ascii="Arial" w:hAnsi="Arial" w:cs="Arial"/>
          <w:b/>
          <w:sz w:val="20"/>
          <w:szCs w:val="20"/>
        </w:rPr>
      </w:pPr>
    </w:p>
    <w:p w14:paraId="4FF523CE" w14:textId="77777777" w:rsidR="00191C60" w:rsidRPr="00246BEA" w:rsidRDefault="00191C60" w:rsidP="0083731A">
      <w:pPr>
        <w:pStyle w:val="ListParagraph"/>
        <w:shd w:val="clear" w:color="auto" w:fill="FFFFFF"/>
        <w:jc w:val="left"/>
        <w:rPr>
          <w:rFonts w:ascii="Arial" w:hAnsi="Arial" w:cs="Arial"/>
          <w:b/>
          <w:sz w:val="2"/>
          <w:szCs w:val="20"/>
        </w:rPr>
      </w:pPr>
    </w:p>
    <w:tbl>
      <w:tblPr>
        <w:tblW w:w="9445"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133"/>
        <w:gridCol w:w="1789"/>
        <w:gridCol w:w="2040"/>
        <w:gridCol w:w="4483"/>
      </w:tblGrid>
      <w:tr w:rsidR="00161BE4" w:rsidRPr="00EE617F" w14:paraId="25A6CD85" w14:textId="77777777" w:rsidTr="00966BCB">
        <w:trPr>
          <w:trHeight w:val="75"/>
        </w:trPr>
        <w:tc>
          <w:tcPr>
            <w:tcW w:w="113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FD718AE" w14:textId="77777777" w:rsidR="00161BE4" w:rsidRPr="00EE617F" w:rsidRDefault="00161BE4" w:rsidP="0083731A">
            <w:pPr>
              <w:rPr>
                <w:rFonts w:ascii="Arial" w:hAnsi="Arial" w:cs="Arial"/>
                <w:b/>
                <w:color w:val="000000"/>
                <w:sz w:val="20"/>
                <w:szCs w:val="20"/>
                <w:lang w:eastAsia="zh-CN"/>
              </w:rPr>
            </w:pPr>
            <w:r w:rsidRPr="00EE617F">
              <w:rPr>
                <w:rFonts w:ascii="Arial" w:hAnsi="Arial" w:cs="Arial"/>
                <w:b/>
                <w:color w:val="000000"/>
                <w:sz w:val="20"/>
                <w:szCs w:val="20"/>
                <w:lang w:eastAsia="zh-CN"/>
              </w:rPr>
              <w:t>Version</w:t>
            </w:r>
          </w:p>
        </w:tc>
        <w:tc>
          <w:tcPr>
            <w:tcW w:w="178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9DAB708" w14:textId="77777777" w:rsidR="00161BE4" w:rsidRPr="00EE617F" w:rsidRDefault="00161BE4" w:rsidP="0083731A">
            <w:pPr>
              <w:rPr>
                <w:rFonts w:ascii="Arial" w:hAnsi="Arial" w:cs="Arial"/>
                <w:b/>
                <w:color w:val="000000"/>
                <w:sz w:val="20"/>
                <w:szCs w:val="20"/>
                <w:lang w:eastAsia="zh-CN"/>
              </w:rPr>
            </w:pPr>
            <w:r w:rsidRPr="00EE617F">
              <w:rPr>
                <w:rFonts w:ascii="Arial" w:hAnsi="Arial" w:cs="Arial"/>
                <w:b/>
                <w:color w:val="000000"/>
                <w:sz w:val="20"/>
                <w:szCs w:val="20"/>
                <w:lang w:eastAsia="zh-CN"/>
              </w:rPr>
              <w:t>Approved by</w:t>
            </w:r>
          </w:p>
        </w:tc>
        <w:tc>
          <w:tcPr>
            <w:tcW w:w="20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36AC965B" w14:textId="77777777" w:rsidR="00161BE4" w:rsidRPr="00EE617F" w:rsidRDefault="00161BE4" w:rsidP="0083731A">
            <w:pPr>
              <w:rPr>
                <w:rFonts w:ascii="Arial" w:hAnsi="Arial" w:cs="Arial"/>
                <w:b/>
                <w:color w:val="000000"/>
                <w:sz w:val="20"/>
                <w:szCs w:val="20"/>
                <w:lang w:eastAsia="zh-CN"/>
              </w:rPr>
            </w:pPr>
            <w:r w:rsidRPr="00EE617F">
              <w:rPr>
                <w:rFonts w:ascii="Arial" w:hAnsi="Arial" w:cs="Arial"/>
                <w:b/>
                <w:color w:val="000000"/>
                <w:sz w:val="20"/>
                <w:szCs w:val="20"/>
                <w:lang w:eastAsia="zh-CN"/>
              </w:rPr>
              <w:t>Approval Date</w:t>
            </w:r>
          </w:p>
        </w:tc>
        <w:tc>
          <w:tcPr>
            <w:tcW w:w="448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61102D8" w14:textId="77777777" w:rsidR="00161BE4" w:rsidRPr="00EE617F" w:rsidRDefault="00161BE4" w:rsidP="0083731A">
            <w:pPr>
              <w:rPr>
                <w:rFonts w:ascii="Arial" w:hAnsi="Arial" w:cs="Arial"/>
                <w:b/>
                <w:color w:val="000000"/>
                <w:sz w:val="20"/>
                <w:szCs w:val="20"/>
                <w:lang w:eastAsia="zh-CN"/>
              </w:rPr>
            </w:pPr>
            <w:r w:rsidRPr="00EE617F">
              <w:rPr>
                <w:rFonts w:ascii="Arial" w:hAnsi="Arial" w:cs="Arial"/>
                <w:b/>
                <w:color w:val="000000"/>
                <w:sz w:val="20"/>
                <w:szCs w:val="20"/>
                <w:lang w:eastAsia="zh-CN"/>
              </w:rPr>
              <w:t>Details</w:t>
            </w:r>
          </w:p>
        </w:tc>
      </w:tr>
      <w:tr w:rsidR="00161BE4" w:rsidRPr="00EE617F" w14:paraId="376ED8F3" w14:textId="77777777" w:rsidTr="00966BCB">
        <w:trPr>
          <w:trHeight w:val="75"/>
        </w:trPr>
        <w:tc>
          <w:tcPr>
            <w:tcW w:w="1133" w:type="dxa"/>
            <w:tcBorders>
              <w:top w:val="single" w:sz="4" w:space="0" w:color="A6A6A6"/>
              <w:left w:val="single" w:sz="4" w:space="0" w:color="A6A6A6"/>
              <w:bottom w:val="single" w:sz="4" w:space="0" w:color="A6A6A6"/>
              <w:right w:val="single" w:sz="4" w:space="0" w:color="A6A6A6"/>
            </w:tcBorders>
            <w:vAlign w:val="center"/>
          </w:tcPr>
          <w:p w14:paraId="0B2731E0" w14:textId="7379D272" w:rsidR="00161BE4" w:rsidRPr="00EE617F" w:rsidRDefault="00161BE4" w:rsidP="0083731A">
            <w:pPr>
              <w:rPr>
                <w:rFonts w:ascii="Arial" w:hAnsi="Arial" w:cs="Arial"/>
                <w:color w:val="000000"/>
                <w:sz w:val="20"/>
                <w:szCs w:val="20"/>
                <w:lang w:eastAsia="zh-CN"/>
              </w:rPr>
            </w:pPr>
          </w:p>
        </w:tc>
        <w:tc>
          <w:tcPr>
            <w:tcW w:w="1789" w:type="dxa"/>
            <w:tcBorders>
              <w:top w:val="single" w:sz="4" w:space="0" w:color="A6A6A6"/>
              <w:left w:val="single" w:sz="4" w:space="0" w:color="A6A6A6"/>
              <w:bottom w:val="single" w:sz="4" w:space="0" w:color="A6A6A6"/>
              <w:right w:val="single" w:sz="4" w:space="0" w:color="A6A6A6"/>
            </w:tcBorders>
            <w:vAlign w:val="center"/>
          </w:tcPr>
          <w:p w14:paraId="79B10795" w14:textId="78ED1752" w:rsidR="00161BE4" w:rsidRPr="00EE617F" w:rsidRDefault="008E5937" w:rsidP="0083731A">
            <w:pPr>
              <w:rPr>
                <w:rFonts w:ascii="Arial" w:hAnsi="Arial" w:cs="Arial"/>
                <w:color w:val="000000"/>
                <w:sz w:val="20"/>
                <w:szCs w:val="20"/>
                <w:lang w:eastAsia="zh-CN"/>
              </w:rPr>
            </w:pPr>
            <w:r w:rsidRPr="00EE617F">
              <w:rPr>
                <w:rFonts w:ascii="Arial" w:hAnsi="Arial" w:cs="Arial"/>
                <w:color w:val="000000"/>
                <w:sz w:val="20"/>
                <w:szCs w:val="20"/>
                <w:lang w:eastAsia="zh-CN"/>
              </w:rPr>
              <w:t>C</w:t>
            </w:r>
            <w:r w:rsidR="005F0969" w:rsidRPr="00EE617F">
              <w:rPr>
                <w:rFonts w:ascii="Arial" w:hAnsi="Arial" w:cs="Arial"/>
                <w:color w:val="000000"/>
                <w:sz w:val="20"/>
                <w:szCs w:val="20"/>
                <w:lang w:eastAsia="zh-CN"/>
              </w:rPr>
              <w:t>E</w:t>
            </w:r>
            <w:r w:rsidRPr="00EE617F">
              <w:rPr>
                <w:rFonts w:ascii="Arial" w:hAnsi="Arial" w:cs="Arial"/>
                <w:color w:val="000000"/>
                <w:sz w:val="20"/>
                <w:szCs w:val="20"/>
                <w:lang w:eastAsia="zh-CN"/>
              </w:rPr>
              <w:t>O</w:t>
            </w:r>
          </w:p>
        </w:tc>
        <w:tc>
          <w:tcPr>
            <w:tcW w:w="2040" w:type="dxa"/>
            <w:tcBorders>
              <w:top w:val="single" w:sz="4" w:space="0" w:color="A6A6A6"/>
              <w:left w:val="single" w:sz="4" w:space="0" w:color="A6A6A6"/>
              <w:bottom w:val="single" w:sz="4" w:space="0" w:color="A6A6A6"/>
              <w:right w:val="single" w:sz="4" w:space="0" w:color="A6A6A6"/>
            </w:tcBorders>
            <w:vAlign w:val="center"/>
          </w:tcPr>
          <w:p w14:paraId="177CDB96" w14:textId="3E3B7E6F" w:rsidR="00161BE4" w:rsidRPr="00EE617F" w:rsidRDefault="005F44C6" w:rsidP="0083731A">
            <w:pPr>
              <w:rPr>
                <w:rFonts w:ascii="Arial" w:hAnsi="Arial" w:cs="Arial"/>
                <w:color w:val="000000"/>
                <w:sz w:val="20"/>
                <w:szCs w:val="20"/>
                <w:lang w:eastAsia="zh-CN"/>
              </w:rPr>
            </w:pPr>
            <w:r w:rsidRPr="00EE617F">
              <w:rPr>
                <w:rFonts w:ascii="Arial" w:hAnsi="Arial" w:cs="Arial"/>
                <w:color w:val="000000"/>
                <w:sz w:val="20"/>
                <w:szCs w:val="20"/>
                <w:lang w:eastAsia="zh-CN"/>
              </w:rPr>
              <w:t>2</w:t>
            </w:r>
            <w:r w:rsidR="00BE2C2C">
              <w:rPr>
                <w:rFonts w:ascii="Arial" w:hAnsi="Arial" w:cs="Arial"/>
                <w:color w:val="000000"/>
                <w:sz w:val="20"/>
                <w:szCs w:val="20"/>
                <w:lang w:eastAsia="zh-CN"/>
              </w:rPr>
              <w:t>1</w:t>
            </w:r>
            <w:r w:rsidR="004616E5" w:rsidRPr="00EE617F">
              <w:rPr>
                <w:rFonts w:ascii="Arial" w:hAnsi="Arial" w:cs="Arial"/>
                <w:color w:val="000000"/>
                <w:sz w:val="20"/>
                <w:szCs w:val="20"/>
                <w:lang w:eastAsia="zh-CN"/>
              </w:rPr>
              <w:t>/0</w:t>
            </w:r>
            <w:r w:rsidR="00BE2C2C">
              <w:rPr>
                <w:rFonts w:ascii="Arial" w:hAnsi="Arial" w:cs="Arial"/>
                <w:color w:val="000000"/>
                <w:sz w:val="20"/>
                <w:szCs w:val="20"/>
                <w:lang w:eastAsia="zh-CN"/>
              </w:rPr>
              <w:t>7</w:t>
            </w:r>
            <w:r w:rsidR="004616E5" w:rsidRPr="00EE617F">
              <w:rPr>
                <w:rFonts w:ascii="Arial" w:hAnsi="Arial" w:cs="Arial"/>
                <w:color w:val="000000"/>
                <w:sz w:val="20"/>
                <w:szCs w:val="20"/>
                <w:lang w:eastAsia="zh-CN"/>
              </w:rPr>
              <w:t>/201</w:t>
            </w:r>
            <w:r w:rsidRPr="00EE617F">
              <w:rPr>
                <w:rFonts w:ascii="Arial" w:hAnsi="Arial" w:cs="Arial"/>
                <w:color w:val="000000"/>
                <w:sz w:val="20"/>
                <w:szCs w:val="20"/>
                <w:lang w:eastAsia="zh-CN"/>
              </w:rPr>
              <w:t>6</w:t>
            </w:r>
          </w:p>
        </w:tc>
        <w:tc>
          <w:tcPr>
            <w:tcW w:w="4483" w:type="dxa"/>
            <w:tcBorders>
              <w:top w:val="single" w:sz="4" w:space="0" w:color="A6A6A6"/>
              <w:left w:val="single" w:sz="4" w:space="0" w:color="A6A6A6"/>
              <w:bottom w:val="single" w:sz="4" w:space="0" w:color="A6A6A6"/>
              <w:right w:val="single" w:sz="4" w:space="0" w:color="A6A6A6"/>
            </w:tcBorders>
            <w:vAlign w:val="center"/>
          </w:tcPr>
          <w:p w14:paraId="2C00D818" w14:textId="5D4728C9" w:rsidR="00161BE4" w:rsidRPr="00EE617F" w:rsidRDefault="004616E5" w:rsidP="0083731A">
            <w:pPr>
              <w:rPr>
                <w:rFonts w:ascii="Arial" w:hAnsi="Arial" w:cs="Arial"/>
                <w:color w:val="000000"/>
                <w:sz w:val="20"/>
                <w:szCs w:val="20"/>
                <w:lang w:eastAsia="zh-CN"/>
              </w:rPr>
            </w:pPr>
            <w:r w:rsidRPr="00EE617F">
              <w:rPr>
                <w:rFonts w:ascii="Arial" w:hAnsi="Arial" w:cs="Arial"/>
                <w:color w:val="000000"/>
                <w:sz w:val="20"/>
                <w:szCs w:val="20"/>
                <w:lang w:eastAsia="zh-CN"/>
              </w:rPr>
              <w:t>Refer archived policy.</w:t>
            </w:r>
          </w:p>
        </w:tc>
      </w:tr>
      <w:tr w:rsidR="003E6FDD" w:rsidRPr="00EE617F" w14:paraId="699EB460" w14:textId="77777777" w:rsidTr="00966BCB">
        <w:trPr>
          <w:trHeight w:val="70"/>
        </w:trPr>
        <w:tc>
          <w:tcPr>
            <w:tcW w:w="1133" w:type="dxa"/>
            <w:tcBorders>
              <w:top w:val="single" w:sz="4" w:space="0" w:color="A6A6A6"/>
              <w:left w:val="single" w:sz="4" w:space="0" w:color="A6A6A6"/>
              <w:bottom w:val="single" w:sz="4" w:space="0" w:color="A6A6A6"/>
              <w:right w:val="single" w:sz="4" w:space="0" w:color="A6A6A6"/>
            </w:tcBorders>
          </w:tcPr>
          <w:p w14:paraId="3285C004" w14:textId="34B7C3F5" w:rsidR="00161BE4" w:rsidRPr="00EE617F" w:rsidRDefault="004616E5" w:rsidP="0083731A">
            <w:pPr>
              <w:rPr>
                <w:rFonts w:ascii="Arial" w:hAnsi="Arial" w:cs="Arial"/>
                <w:color w:val="000000" w:themeColor="text1"/>
                <w:sz w:val="20"/>
                <w:szCs w:val="20"/>
                <w:lang w:eastAsia="zh-CN"/>
              </w:rPr>
            </w:pPr>
            <w:r w:rsidRPr="00EE617F">
              <w:rPr>
                <w:rFonts w:ascii="Arial" w:hAnsi="Arial" w:cs="Arial"/>
                <w:color w:val="000000" w:themeColor="text1"/>
                <w:sz w:val="20"/>
                <w:szCs w:val="20"/>
                <w:lang w:eastAsia="zh-CN"/>
              </w:rPr>
              <w:t>1</w:t>
            </w:r>
            <w:r w:rsidR="008E5937" w:rsidRPr="00EE617F">
              <w:rPr>
                <w:rFonts w:ascii="Arial" w:hAnsi="Arial" w:cs="Arial"/>
                <w:color w:val="000000" w:themeColor="text1"/>
                <w:sz w:val="20"/>
                <w:szCs w:val="20"/>
                <w:lang w:eastAsia="zh-CN"/>
              </w:rPr>
              <w:t>.0</w:t>
            </w:r>
          </w:p>
        </w:tc>
        <w:tc>
          <w:tcPr>
            <w:tcW w:w="1789" w:type="dxa"/>
            <w:tcBorders>
              <w:top w:val="single" w:sz="4" w:space="0" w:color="A6A6A6"/>
              <w:left w:val="single" w:sz="4" w:space="0" w:color="A6A6A6"/>
              <w:bottom w:val="single" w:sz="4" w:space="0" w:color="A6A6A6"/>
              <w:right w:val="single" w:sz="4" w:space="0" w:color="A6A6A6"/>
            </w:tcBorders>
          </w:tcPr>
          <w:p w14:paraId="502415D8" w14:textId="3AA49F39" w:rsidR="00161BE4" w:rsidRPr="00EE617F" w:rsidRDefault="008E5937" w:rsidP="0083731A">
            <w:pPr>
              <w:rPr>
                <w:rFonts w:ascii="Arial" w:hAnsi="Arial" w:cs="Arial"/>
                <w:color w:val="000000" w:themeColor="text1"/>
                <w:sz w:val="20"/>
                <w:szCs w:val="20"/>
                <w:lang w:eastAsia="zh-CN"/>
              </w:rPr>
            </w:pPr>
            <w:r w:rsidRPr="00EE617F">
              <w:rPr>
                <w:rFonts w:ascii="Arial" w:hAnsi="Arial" w:cs="Arial"/>
                <w:color w:val="000000" w:themeColor="text1"/>
                <w:sz w:val="20"/>
                <w:szCs w:val="20"/>
                <w:lang w:eastAsia="zh-CN"/>
              </w:rPr>
              <w:t>C</w:t>
            </w:r>
            <w:r w:rsidR="005F0969" w:rsidRPr="00EE617F">
              <w:rPr>
                <w:rFonts w:ascii="Arial" w:hAnsi="Arial" w:cs="Arial"/>
                <w:color w:val="000000" w:themeColor="text1"/>
                <w:sz w:val="20"/>
                <w:szCs w:val="20"/>
                <w:lang w:eastAsia="zh-CN"/>
              </w:rPr>
              <w:t>E</w:t>
            </w:r>
            <w:r w:rsidRPr="00EE617F">
              <w:rPr>
                <w:rFonts w:ascii="Arial" w:hAnsi="Arial" w:cs="Arial"/>
                <w:color w:val="000000" w:themeColor="text1"/>
                <w:sz w:val="20"/>
                <w:szCs w:val="20"/>
                <w:lang w:eastAsia="zh-CN"/>
              </w:rPr>
              <w:t>O</w:t>
            </w:r>
          </w:p>
        </w:tc>
        <w:tc>
          <w:tcPr>
            <w:tcW w:w="2040" w:type="dxa"/>
            <w:tcBorders>
              <w:top w:val="single" w:sz="4" w:space="0" w:color="A6A6A6"/>
              <w:left w:val="single" w:sz="4" w:space="0" w:color="A6A6A6"/>
              <w:bottom w:val="single" w:sz="4" w:space="0" w:color="A6A6A6"/>
              <w:right w:val="single" w:sz="4" w:space="0" w:color="A6A6A6"/>
            </w:tcBorders>
          </w:tcPr>
          <w:p w14:paraId="1366E8BF" w14:textId="60BE3E7A" w:rsidR="00161BE4" w:rsidRPr="00EE617F" w:rsidRDefault="008360B1"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15</w:t>
            </w:r>
            <w:r w:rsidR="00B27D70" w:rsidRPr="00EE617F">
              <w:rPr>
                <w:rFonts w:ascii="Arial" w:hAnsi="Arial" w:cs="Arial"/>
                <w:color w:val="000000" w:themeColor="text1"/>
                <w:sz w:val="20"/>
                <w:szCs w:val="20"/>
                <w:lang w:eastAsia="zh-CN"/>
              </w:rPr>
              <w:t>/</w:t>
            </w:r>
            <w:r w:rsidR="00864F5C" w:rsidRPr="00EE617F">
              <w:rPr>
                <w:rFonts w:ascii="Arial" w:hAnsi="Arial" w:cs="Arial"/>
                <w:color w:val="000000" w:themeColor="text1"/>
                <w:sz w:val="20"/>
                <w:szCs w:val="20"/>
                <w:lang w:eastAsia="zh-CN"/>
              </w:rPr>
              <w:t>0</w:t>
            </w:r>
            <w:r>
              <w:rPr>
                <w:rFonts w:ascii="Arial" w:hAnsi="Arial" w:cs="Arial"/>
                <w:color w:val="000000" w:themeColor="text1"/>
                <w:sz w:val="20"/>
                <w:szCs w:val="20"/>
                <w:lang w:eastAsia="zh-CN"/>
              </w:rPr>
              <w:t>3</w:t>
            </w:r>
            <w:r w:rsidR="00B27D70" w:rsidRPr="00EE617F">
              <w:rPr>
                <w:rFonts w:ascii="Arial" w:hAnsi="Arial" w:cs="Arial"/>
                <w:color w:val="000000" w:themeColor="text1"/>
                <w:sz w:val="20"/>
                <w:szCs w:val="20"/>
                <w:lang w:eastAsia="zh-CN"/>
              </w:rPr>
              <w:t>/</w:t>
            </w:r>
            <w:r w:rsidR="00864F5C" w:rsidRPr="00EE617F">
              <w:rPr>
                <w:rFonts w:ascii="Arial" w:hAnsi="Arial" w:cs="Arial"/>
                <w:color w:val="000000" w:themeColor="text1"/>
                <w:sz w:val="20"/>
                <w:szCs w:val="20"/>
                <w:lang w:eastAsia="zh-CN"/>
              </w:rPr>
              <w:t>2019</w:t>
            </w:r>
          </w:p>
        </w:tc>
        <w:tc>
          <w:tcPr>
            <w:tcW w:w="4483" w:type="dxa"/>
            <w:tcBorders>
              <w:top w:val="single" w:sz="4" w:space="0" w:color="A6A6A6"/>
              <w:left w:val="single" w:sz="4" w:space="0" w:color="A6A6A6"/>
              <w:bottom w:val="single" w:sz="4" w:space="0" w:color="A6A6A6"/>
              <w:right w:val="single" w:sz="4" w:space="0" w:color="A6A6A6"/>
            </w:tcBorders>
          </w:tcPr>
          <w:p w14:paraId="6DFBA2BA" w14:textId="4EBDF0AB" w:rsidR="00161BE4" w:rsidRPr="00EE617F" w:rsidRDefault="00B27D70" w:rsidP="0083731A">
            <w:pPr>
              <w:rPr>
                <w:rFonts w:ascii="Arial" w:hAnsi="Arial" w:cs="Arial"/>
                <w:color w:val="000000" w:themeColor="text1"/>
                <w:sz w:val="20"/>
                <w:szCs w:val="20"/>
                <w:lang w:eastAsia="zh-CN"/>
              </w:rPr>
            </w:pPr>
            <w:r w:rsidRPr="00EE617F">
              <w:rPr>
                <w:rFonts w:ascii="Arial" w:hAnsi="Arial" w:cs="Arial"/>
                <w:color w:val="000000" w:themeColor="text1"/>
                <w:sz w:val="20"/>
                <w:szCs w:val="20"/>
                <w:lang w:eastAsia="zh-CN"/>
              </w:rPr>
              <w:t xml:space="preserve">Updated </w:t>
            </w:r>
            <w:r w:rsidR="00177121" w:rsidRPr="00EE617F">
              <w:rPr>
                <w:rFonts w:ascii="Arial" w:hAnsi="Arial" w:cs="Arial"/>
                <w:color w:val="000000" w:themeColor="text1"/>
                <w:sz w:val="20"/>
                <w:szCs w:val="20"/>
                <w:lang w:eastAsia="zh-CN"/>
              </w:rPr>
              <w:t>overview</w:t>
            </w:r>
            <w:r w:rsidRPr="00EE617F">
              <w:rPr>
                <w:rFonts w:ascii="Arial" w:hAnsi="Arial" w:cs="Arial"/>
                <w:color w:val="000000" w:themeColor="text1"/>
                <w:sz w:val="20"/>
                <w:szCs w:val="20"/>
                <w:lang w:eastAsia="zh-CN"/>
              </w:rPr>
              <w:t xml:space="preserve"> and terminology</w:t>
            </w:r>
            <w:r w:rsidR="004E1EC5" w:rsidRPr="00EE617F">
              <w:rPr>
                <w:rFonts w:ascii="Arial" w:hAnsi="Arial" w:cs="Arial"/>
                <w:color w:val="000000" w:themeColor="text1"/>
                <w:sz w:val="20"/>
                <w:szCs w:val="20"/>
                <w:lang w:eastAsia="zh-CN"/>
              </w:rPr>
              <w:t xml:space="preserve">, minor updates throughout policy and procedure including edits to </w:t>
            </w:r>
            <w:r w:rsidR="00966BCB" w:rsidRPr="00EE617F">
              <w:rPr>
                <w:rFonts w:ascii="Arial" w:hAnsi="Arial" w:cs="Arial"/>
                <w:color w:val="000000" w:themeColor="text1"/>
                <w:sz w:val="20"/>
                <w:szCs w:val="20"/>
                <w:lang w:eastAsia="zh-CN"/>
              </w:rPr>
              <w:t xml:space="preserve">responsibilities, definitions, and </w:t>
            </w:r>
            <w:r w:rsidR="003B55DB" w:rsidRPr="00EE617F">
              <w:rPr>
                <w:rFonts w:ascii="Arial" w:hAnsi="Arial" w:cs="Arial"/>
                <w:color w:val="000000" w:themeColor="text1"/>
                <w:sz w:val="20"/>
                <w:szCs w:val="20"/>
                <w:lang w:eastAsia="zh-CN"/>
              </w:rPr>
              <w:t>comprehensive document map and clearer alignment to the appropriate responsible person/body</w:t>
            </w:r>
            <w:r w:rsidR="00DD0120" w:rsidRPr="00EE617F">
              <w:rPr>
                <w:rFonts w:ascii="Arial" w:hAnsi="Arial" w:cs="Arial"/>
                <w:color w:val="000000" w:themeColor="text1"/>
                <w:sz w:val="20"/>
                <w:szCs w:val="20"/>
                <w:lang w:eastAsia="zh-CN"/>
              </w:rPr>
              <w:t xml:space="preserve">.  Change of policy number from </w:t>
            </w:r>
            <w:r w:rsidR="00272337" w:rsidRPr="00EE617F">
              <w:rPr>
                <w:rFonts w:ascii="Arial" w:hAnsi="Arial" w:cs="Arial"/>
                <w:color w:val="000000" w:themeColor="text1"/>
                <w:sz w:val="20"/>
                <w:szCs w:val="20"/>
                <w:lang w:eastAsia="zh-CN"/>
              </w:rPr>
              <w:t>3-</w:t>
            </w:r>
            <w:r w:rsidR="00AA55B5">
              <w:rPr>
                <w:rFonts w:ascii="Arial" w:hAnsi="Arial" w:cs="Arial"/>
                <w:color w:val="000000" w:themeColor="text1"/>
                <w:sz w:val="20"/>
                <w:szCs w:val="20"/>
                <w:lang w:eastAsia="zh-CN"/>
              </w:rPr>
              <w:t>7100</w:t>
            </w:r>
            <w:r w:rsidR="00DD0120" w:rsidRPr="00EE617F">
              <w:rPr>
                <w:rFonts w:ascii="Arial" w:hAnsi="Arial" w:cs="Arial"/>
                <w:color w:val="000000" w:themeColor="text1"/>
                <w:sz w:val="20"/>
                <w:szCs w:val="20"/>
                <w:lang w:eastAsia="zh-CN"/>
              </w:rPr>
              <w:t xml:space="preserve"> to current.</w:t>
            </w:r>
          </w:p>
        </w:tc>
      </w:tr>
      <w:tr w:rsidR="009B7D64" w:rsidRPr="00EE617F" w14:paraId="16068A09" w14:textId="77777777" w:rsidTr="00966BCB">
        <w:trPr>
          <w:trHeight w:val="70"/>
        </w:trPr>
        <w:tc>
          <w:tcPr>
            <w:tcW w:w="1133" w:type="dxa"/>
            <w:tcBorders>
              <w:top w:val="single" w:sz="4" w:space="0" w:color="A6A6A6"/>
              <w:left w:val="single" w:sz="4" w:space="0" w:color="A6A6A6"/>
              <w:bottom w:val="single" w:sz="4" w:space="0" w:color="A6A6A6"/>
              <w:right w:val="single" w:sz="4" w:space="0" w:color="A6A6A6"/>
            </w:tcBorders>
          </w:tcPr>
          <w:p w14:paraId="1555BA6D" w14:textId="57B77E92" w:rsidR="009B7D64" w:rsidRPr="00EE617F" w:rsidRDefault="009B7D64"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1.1</w:t>
            </w:r>
          </w:p>
        </w:tc>
        <w:tc>
          <w:tcPr>
            <w:tcW w:w="1789" w:type="dxa"/>
            <w:tcBorders>
              <w:top w:val="single" w:sz="4" w:space="0" w:color="A6A6A6"/>
              <w:left w:val="single" w:sz="4" w:space="0" w:color="A6A6A6"/>
              <w:bottom w:val="single" w:sz="4" w:space="0" w:color="A6A6A6"/>
              <w:right w:val="single" w:sz="4" w:space="0" w:color="A6A6A6"/>
            </w:tcBorders>
          </w:tcPr>
          <w:p w14:paraId="14DDB261" w14:textId="1DF4E786" w:rsidR="009B7D64" w:rsidRPr="00EE617F" w:rsidRDefault="009B7D64"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CEO</w:t>
            </w:r>
          </w:p>
        </w:tc>
        <w:tc>
          <w:tcPr>
            <w:tcW w:w="2040" w:type="dxa"/>
            <w:tcBorders>
              <w:top w:val="single" w:sz="4" w:space="0" w:color="A6A6A6"/>
              <w:left w:val="single" w:sz="4" w:space="0" w:color="A6A6A6"/>
              <w:bottom w:val="single" w:sz="4" w:space="0" w:color="A6A6A6"/>
              <w:right w:val="single" w:sz="4" w:space="0" w:color="A6A6A6"/>
            </w:tcBorders>
          </w:tcPr>
          <w:p w14:paraId="1810F15B" w14:textId="53F147FF" w:rsidR="009B7D64" w:rsidRDefault="009B7D64"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12/07/2019</w:t>
            </w:r>
          </w:p>
        </w:tc>
        <w:tc>
          <w:tcPr>
            <w:tcW w:w="4483" w:type="dxa"/>
            <w:tcBorders>
              <w:top w:val="single" w:sz="4" w:space="0" w:color="A6A6A6"/>
              <w:left w:val="single" w:sz="4" w:space="0" w:color="A6A6A6"/>
              <w:bottom w:val="single" w:sz="4" w:space="0" w:color="A6A6A6"/>
              <w:right w:val="single" w:sz="4" w:space="0" w:color="A6A6A6"/>
            </w:tcBorders>
          </w:tcPr>
          <w:p w14:paraId="5D07F9C9" w14:textId="02F486E1" w:rsidR="009B7D64" w:rsidRPr="00EE617F" w:rsidRDefault="009B7D64"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Minor amendment to Document Map.</w:t>
            </w:r>
            <w:r w:rsidR="00821C61">
              <w:rPr>
                <w:rFonts w:ascii="Arial" w:hAnsi="Arial" w:cs="Arial"/>
                <w:color w:val="000000" w:themeColor="text1"/>
                <w:sz w:val="20"/>
                <w:szCs w:val="20"/>
                <w:lang w:eastAsia="zh-CN"/>
              </w:rPr>
              <w:t xml:space="preserve"> Updated Definitions.</w:t>
            </w:r>
          </w:p>
        </w:tc>
      </w:tr>
      <w:tr w:rsidR="00926B5C" w:rsidRPr="00EE617F" w14:paraId="11D25F1B" w14:textId="77777777" w:rsidTr="00966BCB">
        <w:trPr>
          <w:trHeight w:val="70"/>
        </w:trPr>
        <w:tc>
          <w:tcPr>
            <w:tcW w:w="1133" w:type="dxa"/>
            <w:tcBorders>
              <w:top w:val="single" w:sz="4" w:space="0" w:color="A6A6A6"/>
              <w:left w:val="single" w:sz="4" w:space="0" w:color="A6A6A6"/>
              <w:bottom w:val="single" w:sz="4" w:space="0" w:color="A6A6A6"/>
              <w:right w:val="single" w:sz="4" w:space="0" w:color="A6A6A6"/>
            </w:tcBorders>
          </w:tcPr>
          <w:p w14:paraId="564506B8" w14:textId="20BDBAE9" w:rsidR="00926B5C" w:rsidRDefault="00926B5C"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1.2</w:t>
            </w:r>
          </w:p>
        </w:tc>
        <w:tc>
          <w:tcPr>
            <w:tcW w:w="1789" w:type="dxa"/>
            <w:tcBorders>
              <w:top w:val="single" w:sz="4" w:space="0" w:color="A6A6A6"/>
              <w:left w:val="single" w:sz="4" w:space="0" w:color="A6A6A6"/>
              <w:bottom w:val="single" w:sz="4" w:space="0" w:color="A6A6A6"/>
              <w:right w:val="single" w:sz="4" w:space="0" w:color="A6A6A6"/>
            </w:tcBorders>
          </w:tcPr>
          <w:p w14:paraId="311F9CEF" w14:textId="0A39C3EE" w:rsidR="00926B5C" w:rsidRDefault="00926B5C"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CEO</w:t>
            </w:r>
          </w:p>
        </w:tc>
        <w:tc>
          <w:tcPr>
            <w:tcW w:w="2040" w:type="dxa"/>
            <w:tcBorders>
              <w:top w:val="single" w:sz="4" w:space="0" w:color="A6A6A6"/>
              <w:left w:val="single" w:sz="4" w:space="0" w:color="A6A6A6"/>
              <w:bottom w:val="single" w:sz="4" w:space="0" w:color="A6A6A6"/>
              <w:right w:val="single" w:sz="4" w:space="0" w:color="A6A6A6"/>
            </w:tcBorders>
          </w:tcPr>
          <w:p w14:paraId="24D4395E" w14:textId="2406F621" w:rsidR="00926B5C" w:rsidRDefault="00926B5C"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05/05/2020</w:t>
            </w:r>
          </w:p>
        </w:tc>
        <w:tc>
          <w:tcPr>
            <w:tcW w:w="4483" w:type="dxa"/>
            <w:tcBorders>
              <w:top w:val="single" w:sz="4" w:space="0" w:color="A6A6A6"/>
              <w:left w:val="single" w:sz="4" w:space="0" w:color="A6A6A6"/>
              <w:bottom w:val="single" w:sz="4" w:space="0" w:color="A6A6A6"/>
              <w:right w:val="single" w:sz="4" w:space="0" w:color="A6A6A6"/>
            </w:tcBorders>
          </w:tcPr>
          <w:p w14:paraId="7CA99BFE" w14:textId="5749D21E" w:rsidR="00926B5C" w:rsidRDefault="00926B5C"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 xml:space="preserve">Minor amendment to section 2. Inclusion of 2.1.  </w:t>
            </w:r>
          </w:p>
        </w:tc>
      </w:tr>
      <w:tr w:rsidR="00E14AEB" w:rsidRPr="00EE617F" w14:paraId="6B38BAB3" w14:textId="77777777" w:rsidTr="00966BCB">
        <w:trPr>
          <w:trHeight w:val="70"/>
        </w:trPr>
        <w:tc>
          <w:tcPr>
            <w:tcW w:w="1133" w:type="dxa"/>
            <w:tcBorders>
              <w:top w:val="single" w:sz="4" w:space="0" w:color="A6A6A6"/>
              <w:left w:val="single" w:sz="4" w:space="0" w:color="A6A6A6"/>
              <w:bottom w:val="single" w:sz="4" w:space="0" w:color="A6A6A6"/>
              <w:right w:val="single" w:sz="4" w:space="0" w:color="A6A6A6"/>
            </w:tcBorders>
          </w:tcPr>
          <w:p w14:paraId="77D6C4CC" w14:textId="6D3992FC" w:rsidR="00E14AEB" w:rsidRDefault="00E14AEB"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2.0</w:t>
            </w:r>
          </w:p>
        </w:tc>
        <w:tc>
          <w:tcPr>
            <w:tcW w:w="1789" w:type="dxa"/>
            <w:tcBorders>
              <w:top w:val="single" w:sz="4" w:space="0" w:color="A6A6A6"/>
              <w:left w:val="single" w:sz="4" w:space="0" w:color="A6A6A6"/>
              <w:bottom w:val="single" w:sz="4" w:space="0" w:color="A6A6A6"/>
              <w:right w:val="single" w:sz="4" w:space="0" w:color="A6A6A6"/>
            </w:tcBorders>
          </w:tcPr>
          <w:p w14:paraId="0548B468" w14:textId="5126818F" w:rsidR="00E14AEB" w:rsidRDefault="00E14AEB"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EMC</w:t>
            </w:r>
          </w:p>
        </w:tc>
        <w:tc>
          <w:tcPr>
            <w:tcW w:w="2040" w:type="dxa"/>
            <w:tcBorders>
              <w:top w:val="single" w:sz="4" w:space="0" w:color="A6A6A6"/>
              <w:left w:val="single" w:sz="4" w:space="0" w:color="A6A6A6"/>
              <w:bottom w:val="single" w:sz="4" w:space="0" w:color="A6A6A6"/>
              <w:right w:val="single" w:sz="4" w:space="0" w:color="A6A6A6"/>
            </w:tcBorders>
          </w:tcPr>
          <w:p w14:paraId="513DBBA4" w14:textId="0C05C0E5" w:rsidR="00E14AEB" w:rsidRDefault="003E7BC2"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0</w:t>
            </w:r>
            <w:r w:rsidR="00CC21AF">
              <w:rPr>
                <w:rFonts w:ascii="Arial" w:hAnsi="Arial" w:cs="Arial"/>
                <w:color w:val="000000" w:themeColor="text1"/>
                <w:sz w:val="20"/>
                <w:szCs w:val="20"/>
                <w:lang w:eastAsia="zh-CN"/>
              </w:rPr>
              <w:t>8</w:t>
            </w:r>
            <w:r>
              <w:rPr>
                <w:rFonts w:ascii="Arial" w:hAnsi="Arial" w:cs="Arial"/>
                <w:color w:val="000000" w:themeColor="text1"/>
                <w:sz w:val="20"/>
                <w:szCs w:val="20"/>
                <w:lang w:eastAsia="zh-CN"/>
              </w:rPr>
              <w:t>/06/2023</w:t>
            </w:r>
          </w:p>
        </w:tc>
        <w:tc>
          <w:tcPr>
            <w:tcW w:w="4483" w:type="dxa"/>
            <w:tcBorders>
              <w:top w:val="single" w:sz="4" w:space="0" w:color="A6A6A6"/>
              <w:left w:val="single" w:sz="4" w:space="0" w:color="A6A6A6"/>
              <w:bottom w:val="single" w:sz="4" w:space="0" w:color="A6A6A6"/>
              <w:right w:val="single" w:sz="4" w:space="0" w:color="A6A6A6"/>
            </w:tcBorders>
          </w:tcPr>
          <w:p w14:paraId="485475D1" w14:textId="1CD290AD" w:rsidR="00E14AEB" w:rsidRDefault="00E14AEB" w:rsidP="0083731A">
            <w:pPr>
              <w:rPr>
                <w:rFonts w:ascii="Arial" w:hAnsi="Arial" w:cs="Arial"/>
                <w:color w:val="000000" w:themeColor="text1"/>
                <w:sz w:val="20"/>
                <w:szCs w:val="20"/>
                <w:lang w:eastAsia="zh-CN"/>
              </w:rPr>
            </w:pPr>
            <w:r>
              <w:rPr>
                <w:rFonts w:ascii="Arial" w:hAnsi="Arial" w:cs="Arial"/>
                <w:color w:val="000000" w:themeColor="text1"/>
                <w:sz w:val="20"/>
                <w:szCs w:val="20"/>
                <w:lang w:eastAsia="zh-CN"/>
              </w:rPr>
              <w:t xml:space="preserve">Triennial review undertaken. No major updates, minor updates </w:t>
            </w:r>
            <w:r w:rsidR="007B7C53">
              <w:rPr>
                <w:rFonts w:ascii="Arial" w:hAnsi="Arial" w:cs="Arial"/>
                <w:color w:val="000000" w:themeColor="text1"/>
                <w:sz w:val="20"/>
                <w:szCs w:val="20"/>
                <w:lang w:eastAsia="zh-CN"/>
              </w:rPr>
              <w:t>in regard to</w:t>
            </w:r>
            <w:r>
              <w:rPr>
                <w:rFonts w:ascii="Arial" w:hAnsi="Arial" w:cs="Arial"/>
                <w:color w:val="000000" w:themeColor="text1"/>
                <w:sz w:val="20"/>
                <w:szCs w:val="20"/>
                <w:lang w:eastAsia="zh-CN"/>
              </w:rPr>
              <w:t xml:space="preserve"> changes of roles and responsibilities. </w:t>
            </w:r>
            <w:r w:rsidR="007B7C53">
              <w:rPr>
                <w:rFonts w:ascii="Arial" w:hAnsi="Arial" w:cs="Arial"/>
                <w:color w:val="000000" w:themeColor="text1"/>
                <w:sz w:val="20"/>
                <w:szCs w:val="20"/>
                <w:lang w:eastAsia="zh-CN"/>
              </w:rPr>
              <w:t xml:space="preserve">Change in 4.2 from 20 working days to 28 days to match updated Grievance Handling Policy and Procedure. </w:t>
            </w:r>
          </w:p>
        </w:tc>
      </w:tr>
    </w:tbl>
    <w:p w14:paraId="446AC453" w14:textId="77777777" w:rsidR="002746F6" w:rsidRPr="00EE617F" w:rsidRDefault="002746F6" w:rsidP="0083731A">
      <w:pPr>
        <w:pStyle w:val="BodyText2"/>
        <w:spacing w:after="0" w:line="240" w:lineRule="auto"/>
        <w:rPr>
          <w:rFonts w:ascii="Arial" w:hAnsi="Arial" w:cs="Arial"/>
          <w:b/>
          <w:sz w:val="20"/>
          <w:szCs w:val="20"/>
        </w:rPr>
      </w:pPr>
    </w:p>
    <w:p w14:paraId="59398F28" w14:textId="2FBBA6A5" w:rsidR="008A781F" w:rsidRDefault="006B68F9" w:rsidP="0083731A">
      <w:pPr>
        <w:pStyle w:val="BodyText2"/>
        <w:numPr>
          <w:ilvl w:val="0"/>
          <w:numId w:val="1"/>
        </w:numPr>
        <w:spacing w:after="0" w:line="240" w:lineRule="auto"/>
        <w:outlineLvl w:val="0"/>
        <w:rPr>
          <w:rFonts w:ascii="Arial" w:hAnsi="Arial" w:cs="Arial"/>
          <w:b/>
          <w:sz w:val="20"/>
          <w:szCs w:val="20"/>
        </w:rPr>
      </w:pPr>
      <w:r w:rsidRPr="00EE617F">
        <w:rPr>
          <w:rFonts w:ascii="Arial" w:hAnsi="Arial" w:cs="Arial"/>
          <w:b/>
          <w:sz w:val="20"/>
          <w:szCs w:val="20"/>
        </w:rPr>
        <w:t>Document Map</w:t>
      </w:r>
    </w:p>
    <w:p w14:paraId="4CF4C322" w14:textId="77777777" w:rsidR="000D47FE" w:rsidRPr="00EE617F" w:rsidRDefault="000D47FE" w:rsidP="000D47FE">
      <w:pPr>
        <w:pStyle w:val="BodyText2"/>
        <w:spacing w:after="0" w:line="240" w:lineRule="auto"/>
        <w:ind w:left="720"/>
        <w:outlineLvl w:val="0"/>
        <w:rPr>
          <w:rFonts w:ascii="Arial" w:hAnsi="Arial" w:cs="Arial"/>
          <w:b/>
          <w:sz w:val="20"/>
          <w:szCs w:val="20"/>
        </w:rPr>
      </w:pPr>
    </w:p>
    <w:p w14:paraId="57462A68" w14:textId="77777777" w:rsidR="00191C60" w:rsidRPr="00246BEA" w:rsidRDefault="00191C60" w:rsidP="0083731A">
      <w:pPr>
        <w:pStyle w:val="ListParagraph"/>
        <w:shd w:val="clear" w:color="auto" w:fill="FFFFFF"/>
        <w:jc w:val="left"/>
        <w:rPr>
          <w:rFonts w:ascii="Arial" w:hAnsi="Arial" w:cs="Arial"/>
          <w:b/>
          <w:sz w:val="2"/>
          <w:szCs w:val="20"/>
        </w:rPr>
      </w:pPr>
    </w:p>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837"/>
        <w:gridCol w:w="2206"/>
        <w:gridCol w:w="2040"/>
        <w:gridCol w:w="2835"/>
      </w:tblGrid>
      <w:tr w:rsidR="00CE01EC" w:rsidRPr="00EE617F" w14:paraId="502C4609" w14:textId="77777777" w:rsidTr="00DC2277">
        <w:tc>
          <w:tcPr>
            <w:tcW w:w="2837" w:type="dxa"/>
            <w:shd w:val="clear" w:color="auto" w:fill="D9D9D9" w:themeFill="background1" w:themeFillShade="D9"/>
            <w:vAlign w:val="center"/>
          </w:tcPr>
          <w:p w14:paraId="539C004A" w14:textId="5F1B6744" w:rsidR="00CE01EC" w:rsidRPr="00EE617F" w:rsidRDefault="00CE01EC" w:rsidP="0083731A">
            <w:pPr>
              <w:rPr>
                <w:rFonts w:ascii="Arial" w:hAnsi="Arial" w:cs="Arial"/>
                <w:b/>
                <w:bCs/>
                <w:sz w:val="20"/>
                <w:szCs w:val="20"/>
              </w:rPr>
            </w:pPr>
            <w:r w:rsidRPr="00EE617F">
              <w:rPr>
                <w:rFonts w:ascii="Arial" w:hAnsi="Arial" w:cs="Arial"/>
                <w:b/>
                <w:bCs/>
                <w:sz w:val="20"/>
                <w:szCs w:val="20"/>
              </w:rPr>
              <w:t>Approval Authority:</w:t>
            </w:r>
          </w:p>
        </w:tc>
        <w:tc>
          <w:tcPr>
            <w:tcW w:w="2206" w:type="dxa"/>
            <w:vAlign w:val="center"/>
          </w:tcPr>
          <w:p w14:paraId="52D237B8" w14:textId="17A48524" w:rsidR="00CE01EC" w:rsidRPr="00EE617F" w:rsidRDefault="003E6FDD" w:rsidP="0083731A">
            <w:pPr>
              <w:rPr>
                <w:rFonts w:ascii="Arial" w:hAnsi="Arial" w:cs="Arial"/>
                <w:bCs/>
                <w:sz w:val="20"/>
                <w:szCs w:val="20"/>
              </w:rPr>
            </w:pPr>
            <w:r w:rsidRPr="00EE617F">
              <w:rPr>
                <w:rFonts w:ascii="Arial" w:hAnsi="Arial" w:cs="Arial"/>
                <w:bCs/>
                <w:sz w:val="20"/>
                <w:szCs w:val="20"/>
              </w:rPr>
              <w:t>Executive Management Committee</w:t>
            </w:r>
          </w:p>
        </w:tc>
        <w:tc>
          <w:tcPr>
            <w:tcW w:w="2040" w:type="dxa"/>
            <w:shd w:val="clear" w:color="auto" w:fill="D9D9D9" w:themeFill="background1" w:themeFillShade="D9"/>
            <w:vAlign w:val="center"/>
          </w:tcPr>
          <w:p w14:paraId="65B07BD6" w14:textId="1994A82D" w:rsidR="00CE01EC" w:rsidRPr="00EE617F" w:rsidRDefault="00CE01EC" w:rsidP="0083731A">
            <w:pPr>
              <w:rPr>
                <w:rFonts w:ascii="Arial" w:hAnsi="Arial" w:cs="Arial"/>
                <w:b/>
                <w:bCs/>
                <w:sz w:val="20"/>
                <w:szCs w:val="20"/>
              </w:rPr>
            </w:pPr>
            <w:r w:rsidRPr="00EE617F">
              <w:rPr>
                <w:rFonts w:ascii="Arial" w:hAnsi="Arial" w:cs="Arial"/>
                <w:b/>
                <w:bCs/>
                <w:sz w:val="20"/>
                <w:szCs w:val="20"/>
              </w:rPr>
              <w:t>Advisory Committee for Approval Authority</w:t>
            </w:r>
          </w:p>
        </w:tc>
        <w:tc>
          <w:tcPr>
            <w:tcW w:w="2835" w:type="dxa"/>
            <w:vAlign w:val="center"/>
          </w:tcPr>
          <w:p w14:paraId="52137996" w14:textId="239CD633" w:rsidR="00CE01EC" w:rsidRPr="00EE617F" w:rsidRDefault="00CE01EC" w:rsidP="0083731A">
            <w:pPr>
              <w:rPr>
                <w:rFonts w:ascii="Arial" w:hAnsi="Arial" w:cs="Arial"/>
                <w:bCs/>
                <w:sz w:val="20"/>
                <w:szCs w:val="20"/>
              </w:rPr>
            </w:pPr>
          </w:p>
        </w:tc>
      </w:tr>
      <w:tr w:rsidR="00CE01EC" w:rsidRPr="00EE617F" w14:paraId="0F785BDC" w14:textId="77777777" w:rsidTr="00DC2277">
        <w:tc>
          <w:tcPr>
            <w:tcW w:w="2837" w:type="dxa"/>
            <w:shd w:val="clear" w:color="auto" w:fill="D9D9D9" w:themeFill="background1" w:themeFillShade="D9"/>
            <w:vAlign w:val="center"/>
          </w:tcPr>
          <w:p w14:paraId="4D87993E" w14:textId="77777777" w:rsidR="00CE01EC" w:rsidRPr="00EE617F" w:rsidRDefault="00CE01EC" w:rsidP="0083731A">
            <w:pPr>
              <w:rPr>
                <w:rFonts w:ascii="Arial" w:hAnsi="Arial" w:cs="Arial"/>
                <w:b/>
                <w:bCs/>
                <w:sz w:val="20"/>
                <w:szCs w:val="20"/>
              </w:rPr>
            </w:pPr>
            <w:r w:rsidRPr="00EE617F">
              <w:rPr>
                <w:rFonts w:ascii="Arial" w:hAnsi="Arial" w:cs="Arial"/>
                <w:b/>
                <w:bCs/>
                <w:sz w:val="20"/>
                <w:szCs w:val="20"/>
              </w:rPr>
              <w:t>Authorised By:</w:t>
            </w:r>
            <w:r w:rsidRPr="00EE617F">
              <w:rPr>
                <w:rFonts w:ascii="Arial" w:hAnsi="Arial" w:cs="Arial"/>
                <w:b/>
                <w:bCs/>
                <w:sz w:val="20"/>
                <w:szCs w:val="20"/>
              </w:rPr>
              <w:tab/>
              <w:t xml:space="preserve"> </w:t>
            </w:r>
          </w:p>
        </w:tc>
        <w:tc>
          <w:tcPr>
            <w:tcW w:w="7081" w:type="dxa"/>
            <w:gridSpan w:val="3"/>
            <w:vAlign w:val="center"/>
          </w:tcPr>
          <w:p w14:paraId="5C464956" w14:textId="587D200D" w:rsidR="00CE01EC" w:rsidRPr="00EE617F" w:rsidRDefault="00E23416" w:rsidP="0083731A">
            <w:pPr>
              <w:rPr>
                <w:rFonts w:ascii="Arial" w:hAnsi="Arial" w:cs="Arial"/>
                <w:bCs/>
                <w:sz w:val="20"/>
                <w:szCs w:val="20"/>
              </w:rPr>
            </w:pPr>
            <w:r w:rsidRPr="00EE617F">
              <w:rPr>
                <w:rFonts w:ascii="Arial" w:hAnsi="Arial" w:cs="Arial"/>
                <w:bCs/>
                <w:sz w:val="20"/>
                <w:szCs w:val="20"/>
              </w:rPr>
              <w:t xml:space="preserve">Chief </w:t>
            </w:r>
            <w:r w:rsidR="005F0969" w:rsidRPr="00EE617F">
              <w:rPr>
                <w:rFonts w:ascii="Arial" w:hAnsi="Arial" w:cs="Arial"/>
                <w:bCs/>
                <w:sz w:val="20"/>
                <w:szCs w:val="20"/>
              </w:rPr>
              <w:t xml:space="preserve">Executive </w:t>
            </w:r>
            <w:r w:rsidRPr="00EE617F">
              <w:rPr>
                <w:rFonts w:ascii="Arial" w:hAnsi="Arial" w:cs="Arial"/>
                <w:bCs/>
                <w:sz w:val="20"/>
                <w:szCs w:val="20"/>
              </w:rPr>
              <w:t>Officer</w:t>
            </w:r>
          </w:p>
        </w:tc>
      </w:tr>
      <w:tr w:rsidR="00CE01EC" w:rsidRPr="00EE617F" w14:paraId="515A1BC7" w14:textId="77777777" w:rsidTr="00DC2277">
        <w:tc>
          <w:tcPr>
            <w:tcW w:w="2837" w:type="dxa"/>
            <w:shd w:val="clear" w:color="auto" w:fill="D9D9D9" w:themeFill="background1" w:themeFillShade="D9"/>
            <w:vAlign w:val="center"/>
          </w:tcPr>
          <w:p w14:paraId="1768C4D1" w14:textId="77777777" w:rsidR="00CE01EC" w:rsidRPr="00EE617F" w:rsidRDefault="00CE01EC" w:rsidP="0083731A">
            <w:pPr>
              <w:rPr>
                <w:rFonts w:ascii="Arial" w:hAnsi="Arial" w:cs="Arial"/>
                <w:b/>
                <w:bCs/>
                <w:sz w:val="20"/>
                <w:szCs w:val="20"/>
              </w:rPr>
            </w:pPr>
            <w:r w:rsidRPr="00EE617F">
              <w:rPr>
                <w:rFonts w:ascii="Arial" w:hAnsi="Arial" w:cs="Arial"/>
                <w:b/>
                <w:bCs/>
                <w:sz w:val="20"/>
                <w:szCs w:val="20"/>
              </w:rPr>
              <w:t>Effective from:</w:t>
            </w:r>
          </w:p>
        </w:tc>
        <w:tc>
          <w:tcPr>
            <w:tcW w:w="7081" w:type="dxa"/>
            <w:gridSpan w:val="3"/>
            <w:vAlign w:val="center"/>
          </w:tcPr>
          <w:p w14:paraId="7901B3C2" w14:textId="6555E2F2" w:rsidR="00CE01EC" w:rsidRPr="00EE617F" w:rsidRDefault="003E7BC2" w:rsidP="0083731A">
            <w:pPr>
              <w:rPr>
                <w:rFonts w:ascii="Arial" w:hAnsi="Arial" w:cs="Arial"/>
                <w:bCs/>
                <w:sz w:val="20"/>
                <w:szCs w:val="20"/>
              </w:rPr>
            </w:pPr>
            <w:r>
              <w:rPr>
                <w:rFonts w:ascii="Arial" w:hAnsi="Arial" w:cs="Arial"/>
                <w:bCs/>
                <w:sz w:val="20"/>
                <w:szCs w:val="20"/>
              </w:rPr>
              <w:t>0</w:t>
            </w:r>
            <w:r w:rsidR="00CC21AF">
              <w:rPr>
                <w:rFonts w:ascii="Arial" w:hAnsi="Arial" w:cs="Arial"/>
                <w:bCs/>
                <w:sz w:val="20"/>
                <w:szCs w:val="20"/>
              </w:rPr>
              <w:t>8</w:t>
            </w:r>
            <w:r>
              <w:rPr>
                <w:rFonts w:ascii="Arial" w:hAnsi="Arial" w:cs="Arial"/>
                <w:bCs/>
                <w:sz w:val="20"/>
                <w:szCs w:val="20"/>
              </w:rPr>
              <w:t>/06/2023</w:t>
            </w:r>
          </w:p>
        </w:tc>
      </w:tr>
      <w:tr w:rsidR="008A781F" w:rsidRPr="00EE617F" w14:paraId="624A4587" w14:textId="77777777" w:rsidTr="00DC2277">
        <w:tc>
          <w:tcPr>
            <w:tcW w:w="2837" w:type="dxa"/>
            <w:shd w:val="clear" w:color="auto" w:fill="D9D9D9" w:themeFill="background1" w:themeFillShade="D9"/>
          </w:tcPr>
          <w:p w14:paraId="3A0CA4D5" w14:textId="13DEFE14" w:rsidR="008A781F" w:rsidRPr="00EE617F" w:rsidRDefault="008A781F" w:rsidP="0083731A">
            <w:pPr>
              <w:ind w:right="-284"/>
              <w:rPr>
                <w:rFonts w:ascii="Arial" w:hAnsi="Arial" w:cs="Arial"/>
                <w:b/>
                <w:bCs/>
                <w:sz w:val="20"/>
                <w:szCs w:val="20"/>
              </w:rPr>
            </w:pPr>
            <w:r w:rsidRPr="00EE617F">
              <w:rPr>
                <w:rFonts w:ascii="Arial" w:hAnsi="Arial" w:cs="Arial"/>
                <w:b/>
                <w:bCs/>
                <w:sz w:val="20"/>
                <w:szCs w:val="20"/>
              </w:rPr>
              <w:t>Next Review</w:t>
            </w:r>
            <w:r w:rsidR="006566F2" w:rsidRPr="00EE617F">
              <w:rPr>
                <w:rFonts w:ascii="Arial" w:hAnsi="Arial" w:cs="Arial"/>
                <w:b/>
                <w:bCs/>
                <w:sz w:val="20"/>
                <w:szCs w:val="20"/>
              </w:rPr>
              <w:t xml:space="preserve"> Date</w:t>
            </w:r>
            <w:r w:rsidRPr="00EE617F">
              <w:rPr>
                <w:rFonts w:ascii="Arial" w:hAnsi="Arial" w:cs="Arial"/>
                <w:b/>
                <w:bCs/>
                <w:sz w:val="20"/>
                <w:szCs w:val="20"/>
              </w:rPr>
              <w:t xml:space="preserve">: </w:t>
            </w:r>
          </w:p>
        </w:tc>
        <w:tc>
          <w:tcPr>
            <w:tcW w:w="7081" w:type="dxa"/>
            <w:gridSpan w:val="3"/>
            <w:vAlign w:val="center"/>
          </w:tcPr>
          <w:p w14:paraId="121C49DC" w14:textId="602F8F66" w:rsidR="008A781F" w:rsidRPr="00EE617F" w:rsidRDefault="003E7BC2" w:rsidP="0083731A">
            <w:pPr>
              <w:ind w:right="124"/>
              <w:rPr>
                <w:rFonts w:ascii="Arial" w:hAnsi="Arial" w:cs="Arial"/>
                <w:bCs/>
                <w:sz w:val="20"/>
                <w:szCs w:val="20"/>
              </w:rPr>
            </w:pPr>
            <w:r>
              <w:rPr>
                <w:rFonts w:ascii="Arial" w:hAnsi="Arial" w:cs="Arial"/>
                <w:bCs/>
                <w:sz w:val="20"/>
                <w:szCs w:val="20"/>
              </w:rPr>
              <w:t>0</w:t>
            </w:r>
            <w:r w:rsidR="00CC21AF">
              <w:rPr>
                <w:rFonts w:ascii="Arial" w:hAnsi="Arial" w:cs="Arial"/>
                <w:bCs/>
                <w:sz w:val="20"/>
                <w:szCs w:val="20"/>
              </w:rPr>
              <w:t>8</w:t>
            </w:r>
            <w:r>
              <w:rPr>
                <w:rFonts w:ascii="Arial" w:hAnsi="Arial" w:cs="Arial"/>
                <w:bCs/>
                <w:sz w:val="20"/>
                <w:szCs w:val="20"/>
              </w:rPr>
              <w:t>/06/2026</w:t>
            </w:r>
          </w:p>
        </w:tc>
      </w:tr>
      <w:tr w:rsidR="008A781F" w:rsidRPr="00EE617F" w14:paraId="059236C7" w14:textId="77777777" w:rsidTr="00DC2277">
        <w:tc>
          <w:tcPr>
            <w:tcW w:w="2837" w:type="dxa"/>
            <w:shd w:val="clear" w:color="auto" w:fill="D9D9D9" w:themeFill="background1" w:themeFillShade="D9"/>
          </w:tcPr>
          <w:p w14:paraId="565A2641" w14:textId="77777777" w:rsidR="008A781F" w:rsidRPr="00EE617F" w:rsidRDefault="008A781F" w:rsidP="0083731A">
            <w:pPr>
              <w:ind w:right="-284"/>
              <w:rPr>
                <w:rFonts w:ascii="Arial" w:hAnsi="Arial" w:cs="Arial"/>
                <w:b/>
                <w:bCs/>
                <w:sz w:val="20"/>
                <w:szCs w:val="20"/>
              </w:rPr>
            </w:pPr>
            <w:r w:rsidRPr="00EE617F">
              <w:rPr>
                <w:rFonts w:ascii="Arial" w:hAnsi="Arial" w:cs="Arial"/>
                <w:b/>
                <w:bCs/>
                <w:sz w:val="20"/>
                <w:szCs w:val="20"/>
              </w:rPr>
              <w:t>File Location:</w:t>
            </w:r>
          </w:p>
        </w:tc>
        <w:tc>
          <w:tcPr>
            <w:tcW w:w="7081" w:type="dxa"/>
            <w:gridSpan w:val="3"/>
            <w:vAlign w:val="center"/>
          </w:tcPr>
          <w:p w14:paraId="5B7A8020" w14:textId="66F7A34C" w:rsidR="008A781F" w:rsidRPr="00EE617F" w:rsidRDefault="008A781F" w:rsidP="0083731A">
            <w:pPr>
              <w:rPr>
                <w:rFonts w:ascii="Arial" w:hAnsi="Arial" w:cs="Arial"/>
                <w:sz w:val="20"/>
                <w:szCs w:val="20"/>
              </w:rPr>
            </w:pPr>
            <w:r w:rsidRPr="00EE617F">
              <w:rPr>
                <w:rFonts w:ascii="Arial" w:hAnsi="Arial" w:cs="Arial"/>
                <w:sz w:val="20"/>
                <w:szCs w:val="20"/>
              </w:rPr>
              <w:t>The current version of this policy can be accessed from</w:t>
            </w:r>
            <w:r w:rsidR="00867C2D" w:rsidRPr="00EE617F">
              <w:rPr>
                <w:rFonts w:ascii="Arial" w:hAnsi="Arial" w:cs="Arial"/>
                <w:sz w:val="20"/>
                <w:szCs w:val="20"/>
              </w:rPr>
              <w:t xml:space="preserve"> the </w:t>
            </w:r>
            <w:hyperlink r:id="rId15" w:history="1">
              <w:r w:rsidR="00867C2D" w:rsidRPr="00EE617F">
                <w:rPr>
                  <w:rStyle w:val="Hyperlink"/>
                  <w:rFonts w:ascii="Arial" w:hAnsi="Arial" w:cs="Arial"/>
                  <w:sz w:val="20"/>
                  <w:szCs w:val="20"/>
                </w:rPr>
                <w:t xml:space="preserve">Policy Register </w:t>
              </w:r>
            </w:hyperlink>
            <w:r w:rsidR="00867C2D" w:rsidRPr="00EE617F">
              <w:rPr>
                <w:rFonts w:ascii="Arial" w:hAnsi="Arial" w:cs="Arial"/>
                <w:sz w:val="20"/>
                <w:szCs w:val="20"/>
              </w:rPr>
              <w:t>(internal users only)</w:t>
            </w:r>
            <w:r w:rsidRPr="00EE617F">
              <w:rPr>
                <w:rFonts w:ascii="Arial" w:hAnsi="Arial" w:cs="Arial"/>
                <w:sz w:val="20"/>
                <w:szCs w:val="20"/>
              </w:rPr>
              <w:t xml:space="preserve"> </w:t>
            </w:r>
          </w:p>
        </w:tc>
      </w:tr>
      <w:tr w:rsidR="008A781F" w:rsidRPr="00EE617F" w14:paraId="073A1C18" w14:textId="77777777" w:rsidTr="00DC2277">
        <w:trPr>
          <w:trHeight w:val="973"/>
        </w:trPr>
        <w:tc>
          <w:tcPr>
            <w:tcW w:w="2837" w:type="dxa"/>
            <w:shd w:val="clear" w:color="auto" w:fill="D9D9D9" w:themeFill="background1" w:themeFillShade="D9"/>
          </w:tcPr>
          <w:p w14:paraId="554C1A07" w14:textId="77777777" w:rsidR="008A781F" w:rsidRPr="00EE617F" w:rsidRDefault="008A781F" w:rsidP="0083731A">
            <w:pPr>
              <w:ind w:right="-284"/>
              <w:rPr>
                <w:rFonts w:ascii="Arial" w:hAnsi="Arial" w:cs="Arial"/>
                <w:b/>
                <w:bCs/>
                <w:sz w:val="20"/>
                <w:szCs w:val="20"/>
              </w:rPr>
            </w:pPr>
            <w:r w:rsidRPr="00EE617F">
              <w:rPr>
                <w:rFonts w:ascii="Arial" w:hAnsi="Arial" w:cs="Arial"/>
                <w:b/>
                <w:bCs/>
                <w:sz w:val="20"/>
                <w:szCs w:val="20"/>
              </w:rPr>
              <w:t>Relevant Legislation:</w:t>
            </w:r>
          </w:p>
        </w:tc>
        <w:tc>
          <w:tcPr>
            <w:tcW w:w="7081" w:type="dxa"/>
            <w:gridSpan w:val="3"/>
            <w:vAlign w:val="center"/>
          </w:tcPr>
          <w:p w14:paraId="48B446E7" w14:textId="77777777" w:rsidR="00A935EE" w:rsidRPr="00EE617F" w:rsidRDefault="00A56F1F" w:rsidP="0083731A">
            <w:pPr>
              <w:rPr>
                <w:rStyle w:val="Hyperlink"/>
                <w:rFonts w:ascii="Arial" w:hAnsi="Arial" w:cs="Arial"/>
                <w:sz w:val="20"/>
                <w:szCs w:val="20"/>
              </w:rPr>
            </w:pPr>
            <w:hyperlink r:id="rId16" w:history="1">
              <w:r w:rsidR="00A935EE" w:rsidRPr="00EE617F">
                <w:rPr>
                  <w:rStyle w:val="Hyperlink"/>
                  <w:rFonts w:ascii="Arial" w:hAnsi="Arial" w:cs="Arial"/>
                  <w:sz w:val="20"/>
                  <w:szCs w:val="20"/>
                </w:rPr>
                <w:t>Education Services for Overseas Students Act 2000</w:t>
              </w:r>
            </w:hyperlink>
          </w:p>
          <w:p w14:paraId="4710F245" w14:textId="77777777" w:rsidR="00A935EE" w:rsidRPr="00EE617F" w:rsidRDefault="00A56F1F" w:rsidP="0083731A">
            <w:pPr>
              <w:pStyle w:val="Heading2"/>
              <w:pBdr>
                <w:bottom w:val="single" w:sz="6" w:space="11" w:color="EFEFEF"/>
              </w:pBdr>
              <w:shd w:val="clear" w:color="auto" w:fill="FFFFFF"/>
              <w:spacing w:before="0"/>
              <w:rPr>
                <w:rFonts w:ascii="Arial" w:hAnsi="Arial" w:cs="Arial"/>
                <w:color w:val="000000"/>
                <w:spacing w:val="-1"/>
                <w:sz w:val="20"/>
                <w:szCs w:val="20"/>
              </w:rPr>
            </w:pPr>
            <w:hyperlink r:id="rId17" w:history="1">
              <w:r w:rsidR="00A935EE" w:rsidRPr="00EE617F">
                <w:rPr>
                  <w:rStyle w:val="Hyperlink"/>
                  <w:rFonts w:ascii="Arial" w:hAnsi="Arial" w:cs="Arial"/>
                  <w:spacing w:val="-1"/>
                  <w:sz w:val="20"/>
                  <w:szCs w:val="20"/>
                </w:rPr>
                <w:t>National Code of Practice for Providers of Education and Training to Overseas Students 2018</w:t>
              </w:r>
            </w:hyperlink>
          </w:p>
          <w:p w14:paraId="0E3E4DC4" w14:textId="4F73B27A" w:rsidR="00A935EE" w:rsidRPr="00EE617F" w:rsidRDefault="00A56F1F" w:rsidP="0083731A">
            <w:pPr>
              <w:pStyle w:val="Heading2"/>
              <w:pBdr>
                <w:bottom w:val="single" w:sz="6" w:space="11" w:color="EFEFEF"/>
              </w:pBdr>
              <w:shd w:val="clear" w:color="auto" w:fill="FFFFFF"/>
              <w:spacing w:before="0"/>
              <w:rPr>
                <w:rFonts w:ascii="Arial" w:hAnsi="Arial" w:cs="Arial"/>
                <w:bCs/>
                <w:sz w:val="20"/>
                <w:szCs w:val="20"/>
              </w:rPr>
            </w:pPr>
            <w:hyperlink r:id="rId18" w:history="1">
              <w:r w:rsidR="00A935EE" w:rsidRPr="00EE617F">
                <w:rPr>
                  <w:rStyle w:val="Hyperlink"/>
                  <w:rFonts w:ascii="Arial" w:hAnsi="Arial" w:cs="Arial"/>
                  <w:sz w:val="20"/>
                  <w:szCs w:val="20"/>
                </w:rPr>
                <w:t>Standards for Registered Training Organisations 2015</w:t>
              </w:r>
            </w:hyperlink>
          </w:p>
        </w:tc>
      </w:tr>
      <w:tr w:rsidR="008A781F" w:rsidRPr="00EE617F" w14:paraId="29C31790" w14:textId="77777777" w:rsidTr="00DC2277">
        <w:tc>
          <w:tcPr>
            <w:tcW w:w="2837" w:type="dxa"/>
            <w:shd w:val="clear" w:color="auto" w:fill="D9D9D9" w:themeFill="background1" w:themeFillShade="D9"/>
          </w:tcPr>
          <w:p w14:paraId="5B54678F" w14:textId="77777777" w:rsidR="008A781F" w:rsidRPr="00EE617F" w:rsidRDefault="008A781F" w:rsidP="0083731A">
            <w:pPr>
              <w:ind w:right="-284"/>
              <w:rPr>
                <w:rFonts w:ascii="Arial" w:hAnsi="Arial" w:cs="Arial"/>
                <w:b/>
                <w:bCs/>
                <w:sz w:val="20"/>
                <w:szCs w:val="20"/>
              </w:rPr>
            </w:pPr>
            <w:r w:rsidRPr="00EE617F">
              <w:rPr>
                <w:rFonts w:ascii="Arial" w:hAnsi="Arial" w:cs="Arial"/>
                <w:b/>
                <w:bCs/>
                <w:sz w:val="20"/>
                <w:szCs w:val="20"/>
              </w:rPr>
              <w:t>Related Documents and/or Registers:</w:t>
            </w:r>
          </w:p>
        </w:tc>
        <w:tc>
          <w:tcPr>
            <w:tcW w:w="7081" w:type="dxa"/>
            <w:gridSpan w:val="3"/>
            <w:vAlign w:val="center"/>
          </w:tcPr>
          <w:p w14:paraId="7BB35D85" w14:textId="77777777" w:rsidR="004E4945" w:rsidRDefault="00A56F1F" w:rsidP="0083731A">
            <w:pPr>
              <w:rPr>
                <w:rFonts w:ascii="Arial" w:hAnsi="Arial" w:cs="Arial"/>
                <w:sz w:val="20"/>
                <w:szCs w:val="20"/>
              </w:rPr>
            </w:pPr>
            <w:hyperlink r:id="rId19" w:history="1">
              <w:r w:rsidR="004E4945" w:rsidRPr="004E4945">
                <w:rPr>
                  <w:rStyle w:val="Hyperlink"/>
                  <w:rFonts w:ascii="Arial" w:hAnsi="Arial" w:cs="Arial"/>
                  <w:sz w:val="20"/>
                  <w:szCs w:val="20"/>
                </w:rPr>
                <w:t>Formal Grievance Form</w:t>
              </w:r>
            </w:hyperlink>
          </w:p>
          <w:p w14:paraId="290778BF" w14:textId="45407979" w:rsidR="00621CED" w:rsidRPr="00EE617F" w:rsidRDefault="00E14AEB" w:rsidP="0083731A">
            <w:pPr>
              <w:rPr>
                <w:rFonts w:ascii="Arial" w:hAnsi="Arial" w:cs="Arial"/>
                <w:sz w:val="20"/>
                <w:szCs w:val="20"/>
              </w:rPr>
            </w:pPr>
            <w:r w:rsidRPr="00E14AEB">
              <w:rPr>
                <w:rFonts w:ascii="Arial" w:hAnsi="Arial" w:cs="Arial"/>
                <w:sz w:val="20"/>
                <w:szCs w:val="20"/>
              </w:rPr>
              <w:t>Governance &amp; Quality Assurance Framework</w:t>
            </w:r>
          </w:p>
          <w:p w14:paraId="2E4E6647" w14:textId="4C161123" w:rsidR="005F44C6" w:rsidRPr="00EE617F" w:rsidRDefault="00A56F1F" w:rsidP="0083731A">
            <w:pPr>
              <w:ind w:right="-284"/>
              <w:rPr>
                <w:rFonts w:ascii="Arial" w:hAnsi="Arial" w:cs="Arial"/>
                <w:sz w:val="20"/>
                <w:szCs w:val="20"/>
              </w:rPr>
            </w:pPr>
            <w:hyperlink r:id="rId20" w:history="1">
              <w:r w:rsidR="005F44C6" w:rsidRPr="00EE617F">
                <w:rPr>
                  <w:rStyle w:val="Hyperlink"/>
                  <w:rFonts w:ascii="Arial" w:hAnsi="Arial" w:cs="Arial"/>
                  <w:sz w:val="20"/>
                  <w:szCs w:val="20"/>
                </w:rPr>
                <w:t>Grievance Handling Policy and Procedure</w:t>
              </w:r>
            </w:hyperlink>
            <w:r w:rsidR="005F44C6" w:rsidRPr="00EE617F">
              <w:rPr>
                <w:rStyle w:val="Hyperlink"/>
                <w:rFonts w:ascii="Arial" w:hAnsi="Arial" w:cs="Arial"/>
                <w:sz w:val="20"/>
                <w:szCs w:val="20"/>
              </w:rPr>
              <w:t xml:space="preserve"> (Academic and Non Academic)</w:t>
            </w:r>
          </w:p>
          <w:p w14:paraId="40B27D13" w14:textId="059C53DE" w:rsidR="00DC2277" w:rsidRPr="00EE617F" w:rsidRDefault="00A56F1F" w:rsidP="0083731A">
            <w:pPr>
              <w:ind w:right="-284"/>
              <w:rPr>
                <w:rStyle w:val="Hyperlink"/>
                <w:rFonts w:ascii="Arial" w:hAnsi="Arial" w:cs="Arial"/>
                <w:sz w:val="20"/>
                <w:szCs w:val="20"/>
              </w:rPr>
            </w:pPr>
            <w:hyperlink r:id="rId21" w:history="1">
              <w:r w:rsidR="00DC2277" w:rsidRPr="00EE617F">
                <w:rPr>
                  <w:rStyle w:val="Hyperlink"/>
                  <w:rFonts w:ascii="Arial" w:hAnsi="Arial" w:cs="Arial"/>
                  <w:sz w:val="20"/>
                  <w:szCs w:val="20"/>
                </w:rPr>
                <w:t>Student Handbook</w:t>
              </w:r>
            </w:hyperlink>
          </w:p>
          <w:p w14:paraId="10B67F46" w14:textId="594A318E" w:rsidR="005F44C6" w:rsidRDefault="00A56F1F" w:rsidP="0083731A">
            <w:pPr>
              <w:ind w:right="-284"/>
              <w:rPr>
                <w:rStyle w:val="Hyperlink"/>
                <w:rFonts w:ascii="Arial" w:hAnsi="Arial" w:cs="Arial"/>
                <w:sz w:val="20"/>
                <w:szCs w:val="20"/>
              </w:rPr>
            </w:pPr>
            <w:hyperlink r:id="rId22" w:history="1">
              <w:r w:rsidR="005F44C6" w:rsidRPr="00EE617F">
                <w:rPr>
                  <w:rStyle w:val="Hyperlink"/>
                  <w:rFonts w:ascii="Arial" w:hAnsi="Arial" w:cs="Arial"/>
                  <w:sz w:val="20"/>
                  <w:szCs w:val="20"/>
                </w:rPr>
                <w:t xml:space="preserve">Student </w:t>
              </w:r>
              <w:r w:rsidR="00EE617F" w:rsidRPr="00EE617F">
                <w:rPr>
                  <w:rStyle w:val="Hyperlink"/>
                  <w:rFonts w:ascii="Arial" w:hAnsi="Arial" w:cs="Arial"/>
                  <w:sz w:val="20"/>
                  <w:szCs w:val="20"/>
                </w:rPr>
                <w:t xml:space="preserve">Course </w:t>
              </w:r>
              <w:r w:rsidR="005F44C6" w:rsidRPr="00EE617F">
                <w:rPr>
                  <w:rStyle w:val="Hyperlink"/>
                  <w:rFonts w:ascii="Arial" w:hAnsi="Arial" w:cs="Arial"/>
                  <w:sz w:val="20"/>
                  <w:szCs w:val="20"/>
                </w:rPr>
                <w:t>Progress</w:t>
              </w:r>
              <w:r w:rsidR="00EE617F" w:rsidRPr="00EE617F">
                <w:rPr>
                  <w:rStyle w:val="Hyperlink"/>
                  <w:rFonts w:ascii="Arial" w:hAnsi="Arial" w:cs="Arial"/>
                  <w:sz w:val="20"/>
                  <w:szCs w:val="20"/>
                </w:rPr>
                <w:t xml:space="preserve"> (VET) Policy and Procedure</w:t>
              </w:r>
            </w:hyperlink>
          </w:p>
          <w:p w14:paraId="6E220267" w14:textId="7A8B5E19" w:rsidR="00394C4D" w:rsidRPr="009B7D64" w:rsidRDefault="00A56F1F" w:rsidP="0083731A">
            <w:pPr>
              <w:ind w:right="-284"/>
              <w:rPr>
                <w:rFonts w:ascii="Arial" w:hAnsi="Arial" w:cs="Arial"/>
                <w:sz w:val="20"/>
                <w:szCs w:val="20"/>
              </w:rPr>
            </w:pPr>
            <w:hyperlink r:id="rId23" w:history="1">
              <w:r w:rsidR="00E14AEB">
                <w:rPr>
                  <w:rStyle w:val="Hyperlink"/>
                  <w:rFonts w:ascii="Arial" w:hAnsi="Arial" w:cs="Arial"/>
                  <w:sz w:val="20"/>
                  <w:szCs w:val="20"/>
                </w:rPr>
                <w:t>Student Results Policy and Procedure</w:t>
              </w:r>
            </w:hyperlink>
          </w:p>
        </w:tc>
      </w:tr>
      <w:tr w:rsidR="008A781F" w:rsidRPr="00EE617F" w14:paraId="2B1E87E2" w14:textId="77777777" w:rsidTr="00DC2277">
        <w:tc>
          <w:tcPr>
            <w:tcW w:w="2837" w:type="dxa"/>
            <w:shd w:val="clear" w:color="auto" w:fill="D9D9D9" w:themeFill="background1" w:themeFillShade="D9"/>
          </w:tcPr>
          <w:p w14:paraId="72F622FB" w14:textId="77777777" w:rsidR="008A781F" w:rsidRPr="00EE617F" w:rsidRDefault="008A781F" w:rsidP="0083731A">
            <w:pPr>
              <w:ind w:right="-284"/>
              <w:rPr>
                <w:rFonts w:ascii="Arial" w:hAnsi="Arial" w:cs="Arial"/>
                <w:b/>
                <w:bCs/>
                <w:sz w:val="20"/>
                <w:szCs w:val="20"/>
              </w:rPr>
            </w:pPr>
            <w:r w:rsidRPr="00EE617F">
              <w:rPr>
                <w:rFonts w:ascii="Arial" w:hAnsi="Arial" w:cs="Arial"/>
                <w:b/>
                <w:bCs/>
                <w:sz w:val="20"/>
                <w:szCs w:val="20"/>
              </w:rPr>
              <w:t>Policy Subdivision</w:t>
            </w:r>
          </w:p>
        </w:tc>
        <w:tc>
          <w:tcPr>
            <w:tcW w:w="7081" w:type="dxa"/>
            <w:gridSpan w:val="3"/>
            <w:vAlign w:val="center"/>
          </w:tcPr>
          <w:p w14:paraId="67A8F37D" w14:textId="77777777" w:rsidR="008A781F" w:rsidRPr="00EE617F" w:rsidRDefault="008A781F" w:rsidP="0083731A">
            <w:pPr>
              <w:ind w:right="-284"/>
              <w:rPr>
                <w:rFonts w:ascii="Arial" w:hAnsi="Arial" w:cs="Arial"/>
                <w:sz w:val="20"/>
                <w:szCs w:val="20"/>
              </w:rPr>
            </w:pPr>
            <w:r w:rsidRPr="00EE617F">
              <w:rPr>
                <w:rFonts w:ascii="Arial" w:hAnsi="Arial" w:cs="Arial"/>
                <w:sz w:val="20"/>
                <w:szCs w:val="20"/>
              </w:rPr>
              <w:t xml:space="preserve">[    ] Corporate or Academic Governance </w:t>
            </w:r>
          </w:p>
          <w:p w14:paraId="5791E96F" w14:textId="6C17F734" w:rsidR="008A781F" w:rsidRPr="00EE617F" w:rsidRDefault="008A781F" w:rsidP="0083731A">
            <w:pPr>
              <w:ind w:right="-284"/>
              <w:rPr>
                <w:rFonts w:ascii="Arial" w:hAnsi="Arial" w:cs="Arial"/>
                <w:sz w:val="20"/>
                <w:szCs w:val="20"/>
              </w:rPr>
            </w:pPr>
            <w:r w:rsidRPr="00EE617F">
              <w:rPr>
                <w:rFonts w:ascii="Arial" w:hAnsi="Arial" w:cs="Arial"/>
                <w:sz w:val="20"/>
                <w:szCs w:val="20"/>
              </w:rPr>
              <w:t xml:space="preserve">[ </w:t>
            </w:r>
            <w:r w:rsidR="00B122A1" w:rsidRPr="00EE617F">
              <w:rPr>
                <w:rFonts w:ascii="Arial" w:hAnsi="Arial" w:cs="Arial"/>
                <w:sz w:val="20"/>
                <w:szCs w:val="20"/>
              </w:rPr>
              <w:t xml:space="preserve">  </w:t>
            </w:r>
            <w:r w:rsidRPr="00EE617F">
              <w:rPr>
                <w:rFonts w:ascii="Arial" w:hAnsi="Arial" w:cs="Arial"/>
                <w:sz w:val="20"/>
                <w:szCs w:val="20"/>
              </w:rPr>
              <w:t xml:space="preserve"> ] Academic Management</w:t>
            </w:r>
          </w:p>
          <w:p w14:paraId="13B53E2A" w14:textId="7D09E57A" w:rsidR="008A781F" w:rsidRPr="00EE617F" w:rsidRDefault="008A781F" w:rsidP="0083731A">
            <w:pPr>
              <w:ind w:right="-284"/>
              <w:rPr>
                <w:rFonts w:ascii="Arial" w:hAnsi="Arial" w:cs="Arial"/>
                <w:sz w:val="20"/>
                <w:szCs w:val="20"/>
              </w:rPr>
            </w:pPr>
            <w:r w:rsidRPr="00EE617F">
              <w:rPr>
                <w:rFonts w:ascii="Arial" w:hAnsi="Arial" w:cs="Arial"/>
                <w:sz w:val="20"/>
                <w:szCs w:val="20"/>
              </w:rPr>
              <w:t>[</w:t>
            </w:r>
            <w:r w:rsidR="00606978" w:rsidRPr="00EE617F">
              <w:rPr>
                <w:rFonts w:ascii="Arial" w:hAnsi="Arial" w:cs="Arial"/>
                <w:sz w:val="20"/>
                <w:szCs w:val="20"/>
              </w:rPr>
              <w:t xml:space="preserve"> </w:t>
            </w:r>
            <w:r w:rsidR="00504A07" w:rsidRPr="00EE617F">
              <w:rPr>
                <w:rFonts w:ascii="Arial" w:hAnsi="Arial" w:cs="Arial"/>
                <w:sz w:val="20"/>
                <w:szCs w:val="20"/>
              </w:rPr>
              <w:t>X</w:t>
            </w:r>
            <w:r w:rsidR="00606978" w:rsidRPr="00EE617F">
              <w:rPr>
                <w:rFonts w:ascii="Arial" w:hAnsi="Arial" w:cs="Arial"/>
                <w:sz w:val="20"/>
                <w:szCs w:val="20"/>
              </w:rPr>
              <w:t xml:space="preserve"> </w:t>
            </w:r>
            <w:r w:rsidRPr="00EE617F">
              <w:rPr>
                <w:rFonts w:ascii="Arial" w:hAnsi="Arial" w:cs="Arial"/>
                <w:sz w:val="20"/>
                <w:szCs w:val="20"/>
              </w:rPr>
              <w:t xml:space="preserve">] Operational Management </w:t>
            </w:r>
          </w:p>
        </w:tc>
      </w:tr>
      <w:tr w:rsidR="008A781F" w:rsidRPr="00EE617F" w14:paraId="46F1DBCA" w14:textId="77777777" w:rsidTr="00DC2277">
        <w:tc>
          <w:tcPr>
            <w:tcW w:w="2837" w:type="dxa"/>
            <w:shd w:val="clear" w:color="auto" w:fill="D9D9D9" w:themeFill="background1" w:themeFillShade="D9"/>
          </w:tcPr>
          <w:p w14:paraId="4D4FAC89" w14:textId="02036050" w:rsidR="008A781F" w:rsidRPr="00EE617F" w:rsidRDefault="00CE01EC" w:rsidP="0083731A">
            <w:pPr>
              <w:ind w:right="-284"/>
              <w:rPr>
                <w:rFonts w:ascii="Arial" w:hAnsi="Arial" w:cs="Arial"/>
                <w:b/>
                <w:bCs/>
                <w:sz w:val="20"/>
                <w:szCs w:val="20"/>
              </w:rPr>
            </w:pPr>
            <w:r w:rsidRPr="00EE617F">
              <w:rPr>
                <w:rFonts w:ascii="Arial" w:hAnsi="Arial" w:cs="Arial"/>
                <w:b/>
                <w:bCs/>
                <w:sz w:val="20"/>
                <w:szCs w:val="20"/>
              </w:rPr>
              <w:t>Administrator</w:t>
            </w:r>
            <w:r w:rsidR="008A781F" w:rsidRPr="00EE617F">
              <w:rPr>
                <w:rFonts w:ascii="Arial" w:hAnsi="Arial" w:cs="Arial"/>
                <w:b/>
                <w:bCs/>
                <w:sz w:val="20"/>
                <w:szCs w:val="20"/>
              </w:rPr>
              <w:t xml:space="preserve">: </w:t>
            </w:r>
          </w:p>
        </w:tc>
        <w:tc>
          <w:tcPr>
            <w:tcW w:w="7081" w:type="dxa"/>
            <w:gridSpan w:val="3"/>
            <w:vAlign w:val="center"/>
          </w:tcPr>
          <w:p w14:paraId="049AEFE5" w14:textId="4FA5E91B" w:rsidR="008A781F" w:rsidRPr="00EE617F" w:rsidRDefault="001341B8" w:rsidP="00926B5C">
            <w:pPr>
              <w:ind w:right="-284"/>
              <w:rPr>
                <w:rFonts w:ascii="Arial" w:hAnsi="Arial" w:cs="Arial"/>
                <w:bCs/>
                <w:sz w:val="20"/>
                <w:szCs w:val="20"/>
              </w:rPr>
            </w:pPr>
            <w:r w:rsidRPr="00EE617F">
              <w:rPr>
                <w:rFonts w:ascii="Arial" w:hAnsi="Arial" w:cs="Arial"/>
                <w:bCs/>
                <w:sz w:val="20"/>
                <w:szCs w:val="20"/>
              </w:rPr>
              <w:t xml:space="preserve">Quality </w:t>
            </w:r>
            <w:r w:rsidR="00E14AEB">
              <w:rPr>
                <w:rFonts w:ascii="Arial" w:hAnsi="Arial" w:cs="Arial"/>
                <w:bCs/>
                <w:sz w:val="20"/>
                <w:szCs w:val="20"/>
              </w:rPr>
              <w:t>Coordinator</w:t>
            </w:r>
          </w:p>
        </w:tc>
      </w:tr>
    </w:tbl>
    <w:p w14:paraId="74ECAD41" w14:textId="0A36A6CD" w:rsidR="007A14A0" w:rsidRPr="00EE617F" w:rsidRDefault="007A14A0" w:rsidP="00A56F1F">
      <w:pPr>
        <w:pStyle w:val="NoSpacing"/>
        <w:rPr>
          <w:rFonts w:cs="Arial"/>
          <w:szCs w:val="20"/>
        </w:rPr>
      </w:pPr>
    </w:p>
    <w:sectPr w:rsidR="007A14A0" w:rsidRPr="00EE617F" w:rsidSect="00752D7A">
      <w:headerReference w:type="default" r:id="rId24"/>
      <w:footerReference w:type="default" r:id="rId25"/>
      <w:pgSz w:w="11906" w:h="16838" w:code="9"/>
      <w:pgMar w:top="1134" w:right="90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B8ABD" w14:textId="77777777" w:rsidR="00F5332D" w:rsidRDefault="00F5332D">
      <w:r>
        <w:separator/>
      </w:r>
    </w:p>
  </w:endnote>
  <w:endnote w:type="continuationSeparator" w:id="0">
    <w:p w14:paraId="32D96FFB" w14:textId="77777777" w:rsidR="00F5332D" w:rsidRDefault="00F5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4D7B" w14:textId="5403D06D" w:rsidR="005A02A7" w:rsidRDefault="005A02A7" w:rsidP="005A02A7">
    <w:pPr>
      <w:pStyle w:val="Footer"/>
      <w:jc w:val="center"/>
      <w:rPr>
        <w:rFonts w:ascii="Arial" w:hAnsi="Arial" w:cs="Arial"/>
        <w:sz w:val="16"/>
        <w:szCs w:val="16"/>
      </w:rPr>
    </w:pPr>
  </w:p>
  <w:p w14:paraId="2D73571A" w14:textId="2AEC8CBF" w:rsidR="005A02A7" w:rsidRPr="006B1B79" w:rsidRDefault="00D82F5F" w:rsidP="005A02A7">
    <w:pPr>
      <w:pStyle w:val="Footer"/>
      <w:pBdr>
        <w:top w:val="single" w:sz="4" w:space="1" w:color="auto"/>
      </w:pBdr>
      <w:tabs>
        <w:tab w:val="clear" w:pos="4153"/>
        <w:tab w:val="clear" w:pos="8306"/>
      </w:tabs>
      <w:ind w:right="-2"/>
      <w:rPr>
        <w:rFonts w:ascii="Arial" w:hAnsi="Arial" w:cs="Arial"/>
        <w:sz w:val="16"/>
        <w:szCs w:val="16"/>
      </w:rPr>
    </w:pPr>
    <w:r w:rsidRPr="00D82F5F">
      <w:rPr>
        <w:rFonts w:ascii="Arial" w:hAnsi="Arial" w:cs="Arial"/>
        <w:sz w:val="16"/>
        <w:szCs w:val="16"/>
      </w:rPr>
      <w:t xml:space="preserve">Resulting </w:t>
    </w:r>
    <w:r w:rsidR="00926B5C">
      <w:rPr>
        <w:rFonts w:ascii="Arial" w:hAnsi="Arial" w:cs="Arial"/>
        <w:sz w:val="16"/>
        <w:szCs w:val="16"/>
      </w:rPr>
      <w:t xml:space="preserve">Outcomes </w:t>
    </w:r>
    <w:r w:rsidR="002A3C7A" w:rsidRPr="006B1B79">
      <w:rPr>
        <w:rFonts w:ascii="Arial" w:hAnsi="Arial" w:cs="Arial"/>
        <w:sz w:val="16"/>
        <w:szCs w:val="16"/>
      </w:rPr>
      <w:t xml:space="preserve">Policy </w:t>
    </w:r>
    <w:r w:rsidR="00D86724" w:rsidRPr="006B1B79">
      <w:rPr>
        <w:rFonts w:ascii="Arial" w:hAnsi="Arial" w:cs="Arial"/>
        <w:sz w:val="16"/>
        <w:szCs w:val="16"/>
      </w:rPr>
      <w:t>and Procedure</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926B5C">
      <w:rPr>
        <w:rFonts w:ascii="Arial" w:hAnsi="Arial" w:cs="Arial"/>
        <w:sz w:val="16"/>
        <w:szCs w:val="16"/>
      </w:rPr>
      <w:t xml:space="preserve"> </w:t>
    </w:r>
    <w:r w:rsidR="00926B5C">
      <w:rPr>
        <w:rFonts w:ascii="Arial" w:hAnsi="Arial" w:cs="Arial"/>
        <w:sz w:val="16"/>
        <w:szCs w:val="16"/>
      </w:rPr>
      <w:tab/>
    </w:r>
    <w:r>
      <w:rPr>
        <w:rFonts w:ascii="Arial" w:hAnsi="Arial" w:cs="Arial"/>
        <w:sz w:val="16"/>
        <w:szCs w:val="16"/>
      </w:rPr>
      <w:t xml:space="preserve">  </w:t>
    </w:r>
    <w:r w:rsidR="004A365B">
      <w:rPr>
        <w:rFonts w:ascii="Arial" w:hAnsi="Arial" w:cs="Arial"/>
        <w:sz w:val="16"/>
        <w:szCs w:val="16"/>
      </w:rPr>
      <w:t xml:space="preserve"> </w:t>
    </w:r>
    <w:r>
      <w:rPr>
        <w:rFonts w:ascii="Arial" w:hAnsi="Arial" w:cs="Arial"/>
        <w:sz w:val="16"/>
        <w:szCs w:val="16"/>
      </w:rPr>
      <w:t xml:space="preserve">  </w:t>
    </w:r>
    <w:r w:rsidR="005A02A7" w:rsidRPr="006B1B79">
      <w:rPr>
        <w:rFonts w:ascii="Arial" w:hAnsi="Arial" w:cs="Arial"/>
        <w:sz w:val="16"/>
        <w:szCs w:val="16"/>
      </w:rPr>
      <w:t xml:space="preserve">Refer to </w:t>
    </w:r>
    <w:r w:rsidR="00E14AEB" w:rsidRPr="00E14AEB">
      <w:rPr>
        <w:rFonts w:ascii="Arial" w:hAnsi="Arial" w:cs="Arial"/>
        <w:sz w:val="16"/>
        <w:szCs w:val="16"/>
      </w:rPr>
      <w:t>EQUALS Quality Framework</w:t>
    </w:r>
    <w:r w:rsidR="005A02A7" w:rsidRPr="006B1B79">
      <w:rPr>
        <w:rFonts w:ascii="Arial" w:hAnsi="Arial" w:cs="Arial"/>
        <w:sz w:val="16"/>
        <w:szCs w:val="16"/>
      </w:rPr>
      <w:t xml:space="preserve"> for latest version</w:t>
    </w:r>
  </w:p>
  <w:p w14:paraId="3CE15E1B" w14:textId="3A7214A4" w:rsidR="005A02A7" w:rsidRPr="006B1B79" w:rsidRDefault="00831B64" w:rsidP="005A02A7">
    <w:pPr>
      <w:pStyle w:val="Footer"/>
      <w:pBdr>
        <w:top w:val="single" w:sz="4" w:space="1" w:color="auto"/>
      </w:pBdr>
      <w:tabs>
        <w:tab w:val="clear" w:pos="8306"/>
        <w:tab w:val="right" w:pos="10206"/>
      </w:tabs>
      <w:ind w:right="-2"/>
      <w:rPr>
        <w:rFonts w:ascii="Arial" w:hAnsi="Arial" w:cs="Arial"/>
        <w:sz w:val="16"/>
        <w:szCs w:val="16"/>
      </w:rPr>
    </w:pPr>
    <w:r>
      <w:rPr>
        <w:rFonts w:ascii="Arial" w:hAnsi="Arial" w:cs="Arial"/>
        <w:sz w:val="16"/>
        <w:szCs w:val="16"/>
      </w:rPr>
      <w:t>Revision</w:t>
    </w:r>
    <w:r w:rsidR="005A02A7" w:rsidRPr="006B1B79">
      <w:rPr>
        <w:rFonts w:ascii="Arial" w:hAnsi="Arial" w:cs="Arial"/>
        <w:sz w:val="16"/>
        <w:szCs w:val="16"/>
      </w:rPr>
      <w:t xml:space="preserve"> Date: </w:t>
    </w:r>
    <w:r w:rsidR="003E7BC2">
      <w:rPr>
        <w:rFonts w:ascii="Arial" w:hAnsi="Arial" w:cs="Arial"/>
        <w:sz w:val="16"/>
        <w:szCs w:val="16"/>
      </w:rPr>
      <w:t>0</w:t>
    </w:r>
    <w:r w:rsidR="00CC21AF">
      <w:rPr>
        <w:rFonts w:ascii="Arial" w:hAnsi="Arial" w:cs="Arial"/>
        <w:sz w:val="16"/>
        <w:szCs w:val="16"/>
      </w:rPr>
      <w:t>8</w:t>
    </w:r>
    <w:r w:rsidR="003E7BC2">
      <w:rPr>
        <w:rFonts w:ascii="Arial" w:hAnsi="Arial" w:cs="Arial"/>
        <w:sz w:val="16"/>
        <w:szCs w:val="16"/>
      </w:rPr>
      <w:t>/06/2023</w:t>
    </w:r>
    <w:r w:rsidR="006E3B56" w:rsidRPr="006B1B79">
      <w:rPr>
        <w:rFonts w:ascii="Arial" w:hAnsi="Arial" w:cs="Arial"/>
        <w:sz w:val="16"/>
        <w:szCs w:val="16"/>
      </w:rPr>
      <w:tab/>
    </w:r>
    <w:r w:rsidR="005A02A7" w:rsidRPr="006B1B79">
      <w:rPr>
        <w:rFonts w:ascii="Arial" w:hAnsi="Arial" w:cs="Arial"/>
        <w:sz w:val="16"/>
        <w:szCs w:val="16"/>
      </w:rPr>
      <w:tab/>
    </w:r>
    <w:r w:rsidR="005A02A7" w:rsidRPr="006B1B79">
      <w:t xml:space="preserve">   </w:t>
    </w:r>
    <w:r w:rsidR="005A02A7" w:rsidRPr="006B1B79">
      <w:rPr>
        <w:rFonts w:ascii="Arial" w:hAnsi="Arial" w:cs="Arial"/>
        <w:sz w:val="16"/>
        <w:szCs w:val="16"/>
      </w:rPr>
      <w:t>EQUALS CRICOS Provider Code: 02804C</w:t>
    </w:r>
  </w:p>
  <w:p w14:paraId="22ABCDB6" w14:textId="7533F967" w:rsidR="003612A2" w:rsidRPr="0025540C" w:rsidRDefault="005A02A7" w:rsidP="00752D7A">
    <w:pPr>
      <w:pStyle w:val="Footer"/>
      <w:pBdr>
        <w:top w:val="single" w:sz="4" w:space="1" w:color="auto"/>
      </w:pBdr>
      <w:tabs>
        <w:tab w:val="right" w:pos="10206"/>
      </w:tabs>
      <w:ind w:right="-2"/>
      <w:rPr>
        <w:rFonts w:ascii="Arial" w:hAnsi="Arial" w:cs="Arial"/>
        <w:sz w:val="16"/>
        <w:szCs w:val="16"/>
      </w:rPr>
    </w:pPr>
    <w:r w:rsidRPr="006B1B79">
      <w:rPr>
        <w:rFonts w:ascii="Arial" w:hAnsi="Arial" w:cs="Arial"/>
        <w:sz w:val="16"/>
        <w:szCs w:val="16"/>
      </w:rPr>
      <w:t xml:space="preserve">Reference Number/Code: </w:t>
    </w:r>
    <w:r w:rsidR="00E14AEB">
      <w:rPr>
        <w:rFonts w:ascii="Arial" w:hAnsi="Arial" w:cs="Arial"/>
        <w:sz w:val="16"/>
        <w:szCs w:val="16"/>
      </w:rPr>
      <w:t>DOC0259V</w:t>
    </w:r>
    <w:r w:rsidR="006E3B56" w:rsidRPr="006B1B79">
      <w:rPr>
        <w:rFonts w:ascii="Arial" w:hAnsi="Arial" w:cs="Arial"/>
        <w:sz w:val="16"/>
        <w:szCs w:val="16"/>
      </w:rPr>
      <w:tab/>
    </w:r>
    <w:r w:rsidRPr="006B1B79">
      <w:rPr>
        <w:rFonts w:ascii="Arial" w:hAnsi="Arial" w:cs="Arial"/>
        <w:sz w:val="16"/>
        <w:szCs w:val="16"/>
      </w:rPr>
      <w:tab/>
      <w:t xml:space="preserve"> </w:t>
    </w:r>
    <w:r w:rsidRPr="006B1B79">
      <w:rPr>
        <w:rFonts w:ascii="Arial" w:hAnsi="Arial" w:cs="Arial"/>
        <w:sz w:val="16"/>
        <w:szCs w:val="16"/>
      </w:rPr>
      <w:tab/>
      <w:t xml:space="preserve">         Page </w:t>
    </w:r>
    <w:r w:rsidRPr="006B1B79">
      <w:rPr>
        <w:rFonts w:ascii="Arial" w:hAnsi="Arial" w:cs="Arial"/>
        <w:sz w:val="16"/>
        <w:szCs w:val="16"/>
      </w:rPr>
      <w:fldChar w:fldCharType="begin"/>
    </w:r>
    <w:r w:rsidRPr="006B1B79">
      <w:rPr>
        <w:rFonts w:ascii="Arial" w:hAnsi="Arial" w:cs="Arial"/>
        <w:sz w:val="16"/>
        <w:szCs w:val="16"/>
      </w:rPr>
      <w:instrText xml:space="preserve"> PAGE </w:instrText>
    </w:r>
    <w:r w:rsidRPr="006B1B79">
      <w:rPr>
        <w:rFonts w:ascii="Arial" w:hAnsi="Arial" w:cs="Arial"/>
        <w:sz w:val="16"/>
        <w:szCs w:val="16"/>
      </w:rPr>
      <w:fldChar w:fldCharType="separate"/>
    </w:r>
    <w:r w:rsidR="00A56F1F">
      <w:rPr>
        <w:rFonts w:ascii="Arial" w:hAnsi="Arial" w:cs="Arial"/>
        <w:noProof/>
        <w:sz w:val="16"/>
        <w:szCs w:val="16"/>
      </w:rPr>
      <w:t>3</w:t>
    </w:r>
    <w:r w:rsidRPr="006B1B79">
      <w:rPr>
        <w:rFonts w:ascii="Arial" w:hAnsi="Arial" w:cs="Arial"/>
        <w:sz w:val="16"/>
        <w:szCs w:val="16"/>
      </w:rPr>
      <w:fldChar w:fldCharType="end"/>
    </w:r>
    <w:r w:rsidRPr="006B1B79">
      <w:rPr>
        <w:rFonts w:ascii="Arial" w:hAnsi="Arial" w:cs="Arial"/>
        <w:sz w:val="16"/>
        <w:szCs w:val="16"/>
      </w:rPr>
      <w:t xml:space="preserve"> of </w:t>
    </w:r>
    <w:r w:rsidRPr="006B1B79">
      <w:rPr>
        <w:rFonts w:ascii="Arial" w:hAnsi="Arial" w:cs="Arial"/>
        <w:sz w:val="16"/>
        <w:szCs w:val="16"/>
      </w:rPr>
      <w:fldChar w:fldCharType="begin"/>
    </w:r>
    <w:r w:rsidRPr="006B1B79">
      <w:rPr>
        <w:rFonts w:ascii="Arial" w:hAnsi="Arial" w:cs="Arial"/>
        <w:sz w:val="16"/>
        <w:szCs w:val="16"/>
      </w:rPr>
      <w:instrText xml:space="preserve"> NUMPAGES  </w:instrText>
    </w:r>
    <w:r w:rsidRPr="006B1B79">
      <w:rPr>
        <w:rFonts w:ascii="Arial" w:hAnsi="Arial" w:cs="Arial"/>
        <w:sz w:val="16"/>
        <w:szCs w:val="16"/>
      </w:rPr>
      <w:fldChar w:fldCharType="separate"/>
    </w:r>
    <w:r w:rsidR="00A56F1F">
      <w:rPr>
        <w:rFonts w:ascii="Arial" w:hAnsi="Arial" w:cs="Arial"/>
        <w:noProof/>
        <w:sz w:val="16"/>
        <w:szCs w:val="16"/>
      </w:rPr>
      <w:t>3</w:t>
    </w:r>
    <w:r w:rsidRPr="006B1B79">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046E" w14:textId="77777777" w:rsidR="00F5332D" w:rsidRDefault="00F5332D">
      <w:r>
        <w:separator/>
      </w:r>
    </w:p>
  </w:footnote>
  <w:footnote w:type="continuationSeparator" w:id="0">
    <w:p w14:paraId="053A5E99" w14:textId="77777777" w:rsidR="00F5332D" w:rsidRDefault="00F53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CC75" w14:textId="79E5B871" w:rsidR="00752D7A" w:rsidRDefault="00752D7A" w:rsidP="00752D7A">
    <w:pPr>
      <w:tabs>
        <w:tab w:val="right" w:pos="8920"/>
      </w:tabs>
      <w:jc w:val="right"/>
      <w:rPr>
        <w:rFonts w:ascii="Arial" w:hAnsi="Arial" w:cs="Arial"/>
        <w:b/>
        <w:color w:val="000000" w:themeColor="text1"/>
        <w:sz w:val="28"/>
      </w:rPr>
    </w:pPr>
    <w:r>
      <w:rPr>
        <w:rFonts w:ascii="Arial" w:hAnsi="Arial" w:cs="Arial"/>
        <w:bCs/>
        <w:noProof/>
        <w:sz w:val="20"/>
        <w:szCs w:val="20"/>
        <w:lang w:eastAsia="en-AU"/>
      </w:rPr>
      <w:drawing>
        <wp:anchor distT="0" distB="0" distL="114300" distR="114300" simplePos="0" relativeHeight="251659264" behindDoc="0" locked="0" layoutInCell="1" allowOverlap="1" wp14:anchorId="4368BFC3" wp14:editId="24916D10">
          <wp:simplePos x="0" y="0"/>
          <wp:positionH relativeFrom="column">
            <wp:posOffset>-22860</wp:posOffset>
          </wp:positionH>
          <wp:positionV relativeFrom="paragraph">
            <wp:posOffset>59055</wp:posOffset>
          </wp:positionV>
          <wp:extent cx="1212373" cy="7848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national_logo_ArtistFiles_EqualsInternational_Primary_Logo smaller version.jpg"/>
                  <pic:cNvPicPr/>
                </pic:nvPicPr>
                <pic:blipFill>
                  <a:blip r:embed="rId1"/>
                  <a:stretch>
                    <a:fillRect/>
                  </a:stretch>
                </pic:blipFill>
                <pic:spPr>
                  <a:xfrm>
                    <a:off x="0" y="0"/>
                    <a:ext cx="1212373" cy="7848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8"/>
      </w:rPr>
      <w:tab/>
    </w:r>
  </w:p>
  <w:p w14:paraId="76AF464B" w14:textId="77777777" w:rsidR="00752D7A" w:rsidRDefault="00752D7A" w:rsidP="00752D7A">
    <w:pPr>
      <w:tabs>
        <w:tab w:val="right" w:pos="8920"/>
      </w:tabs>
      <w:jc w:val="right"/>
      <w:rPr>
        <w:rFonts w:ascii="Arial" w:hAnsi="Arial" w:cs="Arial"/>
        <w:b/>
        <w:color w:val="000000" w:themeColor="text1"/>
        <w:sz w:val="28"/>
      </w:rPr>
    </w:pPr>
  </w:p>
  <w:p w14:paraId="608DE13A" w14:textId="77777777" w:rsidR="00B10209" w:rsidRDefault="00B10209" w:rsidP="00B10209">
    <w:pPr>
      <w:pBdr>
        <w:bottom w:val="single" w:sz="12" w:space="1" w:color="auto"/>
      </w:pBdr>
      <w:tabs>
        <w:tab w:val="right" w:pos="8920"/>
      </w:tabs>
      <w:jc w:val="right"/>
      <w:rPr>
        <w:rFonts w:ascii="Arial" w:hAnsi="Arial" w:cs="Arial"/>
        <w:b/>
        <w:color w:val="000000" w:themeColor="text1"/>
        <w:sz w:val="28"/>
      </w:rPr>
    </w:pPr>
  </w:p>
  <w:p w14:paraId="59916BC4" w14:textId="425458D0" w:rsidR="00752D7A" w:rsidRDefault="00FE6255" w:rsidP="00B10209">
    <w:pPr>
      <w:pBdr>
        <w:bottom w:val="single" w:sz="12" w:space="1" w:color="auto"/>
      </w:pBdr>
      <w:tabs>
        <w:tab w:val="right" w:pos="8920"/>
      </w:tabs>
      <w:jc w:val="right"/>
      <w:rPr>
        <w:rFonts w:ascii="Arial" w:hAnsi="Arial" w:cs="Arial"/>
        <w:b/>
        <w:color w:val="000000" w:themeColor="text1"/>
        <w:sz w:val="28"/>
      </w:rPr>
    </w:pPr>
    <w:r w:rsidRPr="00FE6255">
      <w:rPr>
        <w:rFonts w:ascii="Arial" w:hAnsi="Arial" w:cs="Arial"/>
        <w:b/>
        <w:color w:val="000000" w:themeColor="text1"/>
        <w:sz w:val="28"/>
      </w:rPr>
      <w:t xml:space="preserve">Resulting </w:t>
    </w:r>
    <w:r w:rsidR="00926B5C">
      <w:rPr>
        <w:rFonts w:ascii="Arial" w:hAnsi="Arial" w:cs="Arial"/>
        <w:b/>
        <w:color w:val="000000" w:themeColor="text1"/>
        <w:sz w:val="28"/>
      </w:rPr>
      <w:t xml:space="preserve">Outcomes </w:t>
    </w:r>
    <w:r w:rsidR="00752D7A">
      <w:rPr>
        <w:rFonts w:ascii="Arial" w:hAnsi="Arial" w:cs="Arial"/>
        <w:b/>
        <w:color w:val="000000" w:themeColor="text1"/>
        <w:sz w:val="28"/>
      </w:rPr>
      <w:t>Policy and Procedure</w:t>
    </w:r>
  </w:p>
  <w:p w14:paraId="3AE02142" w14:textId="4226977B" w:rsidR="00752D7A" w:rsidRPr="00E72A3F" w:rsidRDefault="00752D7A" w:rsidP="00752D7A">
    <w:pPr>
      <w:tabs>
        <w:tab w:val="right" w:pos="8920"/>
      </w:tabs>
      <w:jc w:val="right"/>
      <w:rPr>
        <w:rFonts w:ascii="Arial" w:hAnsi="Arial" w:cs="Arial"/>
        <w:b/>
        <w:color w:val="000000" w:themeColor="text1"/>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383B"/>
    <w:multiLevelType w:val="multilevel"/>
    <w:tmpl w:val="F5E60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62FF2"/>
    <w:multiLevelType w:val="hybridMultilevel"/>
    <w:tmpl w:val="4810EF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122482C"/>
    <w:multiLevelType w:val="hybridMultilevel"/>
    <w:tmpl w:val="E632BCE8"/>
    <w:lvl w:ilvl="0" w:tplc="1C2E76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20B3046"/>
    <w:multiLevelType w:val="hybridMultilevel"/>
    <w:tmpl w:val="5CCC9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A58D0"/>
    <w:multiLevelType w:val="hybridMultilevel"/>
    <w:tmpl w:val="C3203B3A"/>
    <w:lvl w:ilvl="0" w:tplc="1C2E762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53E69CE"/>
    <w:multiLevelType w:val="hybridMultilevel"/>
    <w:tmpl w:val="8ADEC7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E204600"/>
    <w:multiLevelType w:val="hybridMultilevel"/>
    <w:tmpl w:val="641A931E"/>
    <w:lvl w:ilvl="0" w:tplc="1C2E762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30E62A71"/>
    <w:multiLevelType w:val="hybridMultilevel"/>
    <w:tmpl w:val="B91AA0E8"/>
    <w:lvl w:ilvl="0" w:tplc="1C2E762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34696009"/>
    <w:multiLevelType w:val="multilevel"/>
    <w:tmpl w:val="06BA5AB6"/>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7D1FD3"/>
    <w:multiLevelType w:val="multilevel"/>
    <w:tmpl w:val="0C98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80969"/>
    <w:multiLevelType w:val="hybridMultilevel"/>
    <w:tmpl w:val="D7AA1C24"/>
    <w:lvl w:ilvl="0" w:tplc="102CE82C">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680312"/>
    <w:multiLevelType w:val="hybridMultilevel"/>
    <w:tmpl w:val="0036716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50C021D9"/>
    <w:multiLevelType w:val="hybridMultilevel"/>
    <w:tmpl w:val="6A6AF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34BF4"/>
    <w:multiLevelType w:val="hybridMultilevel"/>
    <w:tmpl w:val="C3203B3A"/>
    <w:lvl w:ilvl="0" w:tplc="1C2E762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60D060B2"/>
    <w:multiLevelType w:val="multilevel"/>
    <w:tmpl w:val="1154370E"/>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D64DD9"/>
    <w:multiLevelType w:val="hybridMultilevel"/>
    <w:tmpl w:val="99F24F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730E3614"/>
    <w:multiLevelType w:val="hybridMultilevel"/>
    <w:tmpl w:val="A7A01180"/>
    <w:lvl w:ilvl="0" w:tplc="1C2E762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8"/>
  </w:num>
  <w:num w:numId="2">
    <w:abstractNumId w:val="1"/>
  </w:num>
  <w:num w:numId="3">
    <w:abstractNumId w:val="15"/>
  </w:num>
  <w:num w:numId="4">
    <w:abstractNumId w:val="5"/>
  </w:num>
  <w:num w:numId="5">
    <w:abstractNumId w:val="16"/>
  </w:num>
  <w:num w:numId="6">
    <w:abstractNumId w:val="2"/>
  </w:num>
  <w:num w:numId="7">
    <w:abstractNumId w:val="4"/>
  </w:num>
  <w:num w:numId="8">
    <w:abstractNumId w:val="6"/>
  </w:num>
  <w:num w:numId="9">
    <w:abstractNumId w:val="7"/>
  </w:num>
  <w:num w:numId="10">
    <w:abstractNumId w:val="9"/>
  </w:num>
  <w:num w:numId="11">
    <w:abstractNumId w:val="0"/>
  </w:num>
  <w:num w:numId="12">
    <w:abstractNumId w:val="3"/>
  </w:num>
  <w:num w:numId="13">
    <w:abstractNumId w:val="10"/>
  </w:num>
  <w:num w:numId="14">
    <w:abstractNumId w:val="11"/>
  </w:num>
  <w:num w:numId="15">
    <w:abstractNumId w:val="14"/>
  </w:num>
  <w:num w:numId="16">
    <w:abstractNumId w:val="13"/>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NotTrackFormatting/>
  <w:documentProtection w:edit="forms" w:enforcement="1" w:cryptProviderType="rsaAES" w:cryptAlgorithmClass="hash" w:cryptAlgorithmType="typeAny" w:cryptAlgorithmSid="14" w:cryptSpinCount="100000" w:hash="+RCts7DQn7XGbXP5yTmkSR8fbeLSsmhYFru5/DNKjmAwUopwT1qzYThDMNzlRD6IgAtBZgOByx6wXOCGfyZ1fA==" w:salt="Gea33qMSNIU6cyt6kyFa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C3"/>
    <w:rsid w:val="000068FC"/>
    <w:rsid w:val="00007B55"/>
    <w:rsid w:val="000109DC"/>
    <w:rsid w:val="00010FA4"/>
    <w:rsid w:val="00013146"/>
    <w:rsid w:val="00015F65"/>
    <w:rsid w:val="000266CC"/>
    <w:rsid w:val="00030E17"/>
    <w:rsid w:val="00031DE2"/>
    <w:rsid w:val="00037552"/>
    <w:rsid w:val="000524E1"/>
    <w:rsid w:val="00054FF1"/>
    <w:rsid w:val="000633AE"/>
    <w:rsid w:val="0006346E"/>
    <w:rsid w:val="000661E1"/>
    <w:rsid w:val="0006675E"/>
    <w:rsid w:val="00070C3D"/>
    <w:rsid w:val="00092198"/>
    <w:rsid w:val="0009421E"/>
    <w:rsid w:val="00095A54"/>
    <w:rsid w:val="00095AF4"/>
    <w:rsid w:val="0009668F"/>
    <w:rsid w:val="000A49D2"/>
    <w:rsid w:val="000A5AD5"/>
    <w:rsid w:val="000B034F"/>
    <w:rsid w:val="000B1C42"/>
    <w:rsid w:val="000B1F1B"/>
    <w:rsid w:val="000B28BC"/>
    <w:rsid w:val="000B6E29"/>
    <w:rsid w:val="000C07F2"/>
    <w:rsid w:val="000C16E0"/>
    <w:rsid w:val="000C21CE"/>
    <w:rsid w:val="000C5635"/>
    <w:rsid w:val="000D0FD5"/>
    <w:rsid w:val="000D47FE"/>
    <w:rsid w:val="000D6114"/>
    <w:rsid w:val="000D611C"/>
    <w:rsid w:val="000D6B6D"/>
    <w:rsid w:val="000E570C"/>
    <w:rsid w:val="000E5FF3"/>
    <w:rsid w:val="000F2014"/>
    <w:rsid w:val="000F3CC1"/>
    <w:rsid w:val="000F7BE9"/>
    <w:rsid w:val="00102ADF"/>
    <w:rsid w:val="001106E3"/>
    <w:rsid w:val="00113CD2"/>
    <w:rsid w:val="00127063"/>
    <w:rsid w:val="00127CA9"/>
    <w:rsid w:val="001341B8"/>
    <w:rsid w:val="00137D7D"/>
    <w:rsid w:val="00140917"/>
    <w:rsid w:val="00140A6E"/>
    <w:rsid w:val="001442AA"/>
    <w:rsid w:val="00146FC0"/>
    <w:rsid w:val="00147CE3"/>
    <w:rsid w:val="00147EC7"/>
    <w:rsid w:val="001544B8"/>
    <w:rsid w:val="00155779"/>
    <w:rsid w:val="00160967"/>
    <w:rsid w:val="00161BE4"/>
    <w:rsid w:val="00162965"/>
    <w:rsid w:val="001636E1"/>
    <w:rsid w:val="00165150"/>
    <w:rsid w:val="00177121"/>
    <w:rsid w:val="00182EF0"/>
    <w:rsid w:val="00184D4E"/>
    <w:rsid w:val="00191C60"/>
    <w:rsid w:val="00197834"/>
    <w:rsid w:val="001A4912"/>
    <w:rsid w:val="001B04B2"/>
    <w:rsid w:val="001B1728"/>
    <w:rsid w:val="001B4CD1"/>
    <w:rsid w:val="001B734C"/>
    <w:rsid w:val="001B7362"/>
    <w:rsid w:val="001C07C7"/>
    <w:rsid w:val="001C31DD"/>
    <w:rsid w:val="001C4C67"/>
    <w:rsid w:val="001C759E"/>
    <w:rsid w:val="001C798C"/>
    <w:rsid w:val="001D0A13"/>
    <w:rsid w:val="001D253E"/>
    <w:rsid w:val="001E02C5"/>
    <w:rsid w:val="001F769F"/>
    <w:rsid w:val="001F7ACA"/>
    <w:rsid w:val="0021178D"/>
    <w:rsid w:val="00213636"/>
    <w:rsid w:val="00220240"/>
    <w:rsid w:val="002203D3"/>
    <w:rsid w:val="00220F65"/>
    <w:rsid w:val="002220A9"/>
    <w:rsid w:val="00225004"/>
    <w:rsid w:val="00226E08"/>
    <w:rsid w:val="002302C5"/>
    <w:rsid w:val="00241700"/>
    <w:rsid w:val="00246BEA"/>
    <w:rsid w:val="00247D53"/>
    <w:rsid w:val="00255FDE"/>
    <w:rsid w:val="00263301"/>
    <w:rsid w:val="00266435"/>
    <w:rsid w:val="00267AB2"/>
    <w:rsid w:val="00272337"/>
    <w:rsid w:val="002746F6"/>
    <w:rsid w:val="0027537C"/>
    <w:rsid w:val="002803F5"/>
    <w:rsid w:val="00293F69"/>
    <w:rsid w:val="002A0F26"/>
    <w:rsid w:val="002A3C7A"/>
    <w:rsid w:val="002A5D17"/>
    <w:rsid w:val="002B2AC4"/>
    <w:rsid w:val="002B5139"/>
    <w:rsid w:val="002C1696"/>
    <w:rsid w:val="002C3F88"/>
    <w:rsid w:val="002C41B2"/>
    <w:rsid w:val="002C4F2C"/>
    <w:rsid w:val="002C61C8"/>
    <w:rsid w:val="002D1791"/>
    <w:rsid w:val="002D52C1"/>
    <w:rsid w:val="002D5C4B"/>
    <w:rsid w:val="002D751A"/>
    <w:rsid w:val="002E0804"/>
    <w:rsid w:val="002E1C93"/>
    <w:rsid w:val="002E25FE"/>
    <w:rsid w:val="002E5089"/>
    <w:rsid w:val="002E62F7"/>
    <w:rsid w:val="002F0A0F"/>
    <w:rsid w:val="002F2EC2"/>
    <w:rsid w:val="002F45E9"/>
    <w:rsid w:val="002F4871"/>
    <w:rsid w:val="003008AB"/>
    <w:rsid w:val="00301C47"/>
    <w:rsid w:val="00304559"/>
    <w:rsid w:val="00311059"/>
    <w:rsid w:val="003129BC"/>
    <w:rsid w:val="00312EF6"/>
    <w:rsid w:val="00315F2D"/>
    <w:rsid w:val="00316E8F"/>
    <w:rsid w:val="00317751"/>
    <w:rsid w:val="00322CC2"/>
    <w:rsid w:val="00323573"/>
    <w:rsid w:val="00327B44"/>
    <w:rsid w:val="00327CA1"/>
    <w:rsid w:val="003449D3"/>
    <w:rsid w:val="003506CC"/>
    <w:rsid w:val="003511D3"/>
    <w:rsid w:val="00351703"/>
    <w:rsid w:val="00353D3D"/>
    <w:rsid w:val="00357447"/>
    <w:rsid w:val="003612A2"/>
    <w:rsid w:val="003633A5"/>
    <w:rsid w:val="003637ED"/>
    <w:rsid w:val="00366AFF"/>
    <w:rsid w:val="00366C02"/>
    <w:rsid w:val="003672D4"/>
    <w:rsid w:val="00367729"/>
    <w:rsid w:val="0036779A"/>
    <w:rsid w:val="00370CDC"/>
    <w:rsid w:val="00372BD7"/>
    <w:rsid w:val="0037533B"/>
    <w:rsid w:val="00393557"/>
    <w:rsid w:val="00394C4D"/>
    <w:rsid w:val="00397CC4"/>
    <w:rsid w:val="003A59A3"/>
    <w:rsid w:val="003B245A"/>
    <w:rsid w:val="003B55DB"/>
    <w:rsid w:val="003B6B21"/>
    <w:rsid w:val="003B6B5A"/>
    <w:rsid w:val="003C0886"/>
    <w:rsid w:val="003C0EA8"/>
    <w:rsid w:val="003C3C1E"/>
    <w:rsid w:val="003C4ACB"/>
    <w:rsid w:val="003C77D0"/>
    <w:rsid w:val="003D041C"/>
    <w:rsid w:val="003D171D"/>
    <w:rsid w:val="003E6209"/>
    <w:rsid w:val="003E6FDD"/>
    <w:rsid w:val="003E7BC2"/>
    <w:rsid w:val="003F1F95"/>
    <w:rsid w:val="003F2690"/>
    <w:rsid w:val="003F3320"/>
    <w:rsid w:val="003F48B1"/>
    <w:rsid w:val="003F4D05"/>
    <w:rsid w:val="00400A4E"/>
    <w:rsid w:val="00403053"/>
    <w:rsid w:val="004051EE"/>
    <w:rsid w:val="00405331"/>
    <w:rsid w:val="00406FF9"/>
    <w:rsid w:val="004113CE"/>
    <w:rsid w:val="00412274"/>
    <w:rsid w:val="00413A8A"/>
    <w:rsid w:val="00424866"/>
    <w:rsid w:val="00426A07"/>
    <w:rsid w:val="00426AE4"/>
    <w:rsid w:val="00427274"/>
    <w:rsid w:val="00436D45"/>
    <w:rsid w:val="0044092D"/>
    <w:rsid w:val="00441FA3"/>
    <w:rsid w:val="004553A6"/>
    <w:rsid w:val="0045704E"/>
    <w:rsid w:val="004616E5"/>
    <w:rsid w:val="00464E1A"/>
    <w:rsid w:val="004654BD"/>
    <w:rsid w:val="00472257"/>
    <w:rsid w:val="00475BBB"/>
    <w:rsid w:val="004800E2"/>
    <w:rsid w:val="00482BE2"/>
    <w:rsid w:val="004A365B"/>
    <w:rsid w:val="004A443A"/>
    <w:rsid w:val="004A7891"/>
    <w:rsid w:val="004B1B08"/>
    <w:rsid w:val="004B5211"/>
    <w:rsid w:val="004C03D7"/>
    <w:rsid w:val="004C1F68"/>
    <w:rsid w:val="004D1726"/>
    <w:rsid w:val="004D3D6C"/>
    <w:rsid w:val="004D4D52"/>
    <w:rsid w:val="004D7EF6"/>
    <w:rsid w:val="004E1EC5"/>
    <w:rsid w:val="004E20D8"/>
    <w:rsid w:val="004E22E3"/>
    <w:rsid w:val="004E4945"/>
    <w:rsid w:val="004E5D54"/>
    <w:rsid w:val="004E6A6C"/>
    <w:rsid w:val="004F3EA0"/>
    <w:rsid w:val="004F67AF"/>
    <w:rsid w:val="005016E2"/>
    <w:rsid w:val="00502F26"/>
    <w:rsid w:val="00503039"/>
    <w:rsid w:val="00504A07"/>
    <w:rsid w:val="00505C60"/>
    <w:rsid w:val="00510DF0"/>
    <w:rsid w:val="00512A01"/>
    <w:rsid w:val="005269FF"/>
    <w:rsid w:val="00530922"/>
    <w:rsid w:val="00551673"/>
    <w:rsid w:val="00552E26"/>
    <w:rsid w:val="0055334B"/>
    <w:rsid w:val="00564459"/>
    <w:rsid w:val="0057461E"/>
    <w:rsid w:val="00575AB1"/>
    <w:rsid w:val="00577808"/>
    <w:rsid w:val="005814AE"/>
    <w:rsid w:val="00582F91"/>
    <w:rsid w:val="0059150D"/>
    <w:rsid w:val="005A02A7"/>
    <w:rsid w:val="005A4A8F"/>
    <w:rsid w:val="005A7537"/>
    <w:rsid w:val="005B0C1D"/>
    <w:rsid w:val="005B1D85"/>
    <w:rsid w:val="005C01EA"/>
    <w:rsid w:val="005C099A"/>
    <w:rsid w:val="005C3065"/>
    <w:rsid w:val="005C60B9"/>
    <w:rsid w:val="005D113A"/>
    <w:rsid w:val="005D2BBF"/>
    <w:rsid w:val="005D7ED5"/>
    <w:rsid w:val="005E0575"/>
    <w:rsid w:val="005E4A4D"/>
    <w:rsid w:val="005F0969"/>
    <w:rsid w:val="005F1473"/>
    <w:rsid w:val="005F44C6"/>
    <w:rsid w:val="005F5FBC"/>
    <w:rsid w:val="005F7CEC"/>
    <w:rsid w:val="006004DD"/>
    <w:rsid w:val="00605E03"/>
    <w:rsid w:val="00606978"/>
    <w:rsid w:val="00606CB2"/>
    <w:rsid w:val="00613CAB"/>
    <w:rsid w:val="0061688B"/>
    <w:rsid w:val="00621CED"/>
    <w:rsid w:val="00626650"/>
    <w:rsid w:val="00631930"/>
    <w:rsid w:val="00632EC4"/>
    <w:rsid w:val="006335F5"/>
    <w:rsid w:val="00640040"/>
    <w:rsid w:val="006473CC"/>
    <w:rsid w:val="006531B1"/>
    <w:rsid w:val="006566F2"/>
    <w:rsid w:val="00657FE5"/>
    <w:rsid w:val="006671A2"/>
    <w:rsid w:val="006671DD"/>
    <w:rsid w:val="00667D54"/>
    <w:rsid w:val="00671A39"/>
    <w:rsid w:val="00677642"/>
    <w:rsid w:val="00682884"/>
    <w:rsid w:val="00684C08"/>
    <w:rsid w:val="00696637"/>
    <w:rsid w:val="006A2E57"/>
    <w:rsid w:val="006B05E9"/>
    <w:rsid w:val="006B1B79"/>
    <w:rsid w:val="006B68F9"/>
    <w:rsid w:val="006C1FD7"/>
    <w:rsid w:val="006C51D8"/>
    <w:rsid w:val="006C56DD"/>
    <w:rsid w:val="006C6B64"/>
    <w:rsid w:val="006C7FC1"/>
    <w:rsid w:val="006D1972"/>
    <w:rsid w:val="006D7104"/>
    <w:rsid w:val="006E23AE"/>
    <w:rsid w:val="006E3B56"/>
    <w:rsid w:val="006E52A5"/>
    <w:rsid w:val="006F0231"/>
    <w:rsid w:val="006F0B60"/>
    <w:rsid w:val="006F7440"/>
    <w:rsid w:val="006F7C0E"/>
    <w:rsid w:val="007000ED"/>
    <w:rsid w:val="007026D2"/>
    <w:rsid w:val="00713258"/>
    <w:rsid w:val="00715B18"/>
    <w:rsid w:val="007257BB"/>
    <w:rsid w:val="007270B1"/>
    <w:rsid w:val="007275C2"/>
    <w:rsid w:val="0073085E"/>
    <w:rsid w:val="00732978"/>
    <w:rsid w:val="00740589"/>
    <w:rsid w:val="00741B68"/>
    <w:rsid w:val="00746D4E"/>
    <w:rsid w:val="00747335"/>
    <w:rsid w:val="007514EC"/>
    <w:rsid w:val="00752425"/>
    <w:rsid w:val="00752D7A"/>
    <w:rsid w:val="00755186"/>
    <w:rsid w:val="00762BE8"/>
    <w:rsid w:val="00764888"/>
    <w:rsid w:val="00772FF2"/>
    <w:rsid w:val="00774978"/>
    <w:rsid w:val="00774B52"/>
    <w:rsid w:val="00777D6F"/>
    <w:rsid w:val="00777FC5"/>
    <w:rsid w:val="00783EDC"/>
    <w:rsid w:val="00785A8E"/>
    <w:rsid w:val="00786839"/>
    <w:rsid w:val="007878CC"/>
    <w:rsid w:val="007925FA"/>
    <w:rsid w:val="00793825"/>
    <w:rsid w:val="007952CD"/>
    <w:rsid w:val="007A14A0"/>
    <w:rsid w:val="007B7C53"/>
    <w:rsid w:val="007C21EB"/>
    <w:rsid w:val="007C767B"/>
    <w:rsid w:val="007C7F25"/>
    <w:rsid w:val="007D02F9"/>
    <w:rsid w:val="007D07CE"/>
    <w:rsid w:val="007D13A6"/>
    <w:rsid w:val="007D3006"/>
    <w:rsid w:val="007D3AF1"/>
    <w:rsid w:val="007E0EE3"/>
    <w:rsid w:val="007E1B7A"/>
    <w:rsid w:val="007E1D29"/>
    <w:rsid w:val="007E1DFD"/>
    <w:rsid w:val="007E6335"/>
    <w:rsid w:val="007E6DFF"/>
    <w:rsid w:val="007F4B2C"/>
    <w:rsid w:val="00801284"/>
    <w:rsid w:val="00805140"/>
    <w:rsid w:val="008052F7"/>
    <w:rsid w:val="008070BA"/>
    <w:rsid w:val="00811EF9"/>
    <w:rsid w:val="00813717"/>
    <w:rsid w:val="00813B6E"/>
    <w:rsid w:val="008142C9"/>
    <w:rsid w:val="008152F1"/>
    <w:rsid w:val="00816BB3"/>
    <w:rsid w:val="008179EB"/>
    <w:rsid w:val="00821C61"/>
    <w:rsid w:val="008221DC"/>
    <w:rsid w:val="00822275"/>
    <w:rsid w:val="00825543"/>
    <w:rsid w:val="00827CD5"/>
    <w:rsid w:val="00830F73"/>
    <w:rsid w:val="00831B64"/>
    <w:rsid w:val="00833264"/>
    <w:rsid w:val="00835EB2"/>
    <w:rsid w:val="008360B1"/>
    <w:rsid w:val="0083731A"/>
    <w:rsid w:val="00843CAF"/>
    <w:rsid w:val="00846B10"/>
    <w:rsid w:val="00846E65"/>
    <w:rsid w:val="00854EB8"/>
    <w:rsid w:val="0085542F"/>
    <w:rsid w:val="00856481"/>
    <w:rsid w:val="00856BFD"/>
    <w:rsid w:val="00864F5C"/>
    <w:rsid w:val="00867C2D"/>
    <w:rsid w:val="00873639"/>
    <w:rsid w:val="008743D0"/>
    <w:rsid w:val="00875CB0"/>
    <w:rsid w:val="008765E7"/>
    <w:rsid w:val="0087698A"/>
    <w:rsid w:val="00876EF5"/>
    <w:rsid w:val="008771EA"/>
    <w:rsid w:val="008814C2"/>
    <w:rsid w:val="0088258B"/>
    <w:rsid w:val="00882D31"/>
    <w:rsid w:val="00885E03"/>
    <w:rsid w:val="00893A6A"/>
    <w:rsid w:val="008A143A"/>
    <w:rsid w:val="008A18C1"/>
    <w:rsid w:val="008A781F"/>
    <w:rsid w:val="008B2781"/>
    <w:rsid w:val="008B4A64"/>
    <w:rsid w:val="008B514B"/>
    <w:rsid w:val="008C1AA9"/>
    <w:rsid w:val="008C7B2A"/>
    <w:rsid w:val="008D296F"/>
    <w:rsid w:val="008D556D"/>
    <w:rsid w:val="008E008B"/>
    <w:rsid w:val="008E1B7F"/>
    <w:rsid w:val="008E2BDE"/>
    <w:rsid w:val="008E5937"/>
    <w:rsid w:val="008F0C61"/>
    <w:rsid w:val="008F6A01"/>
    <w:rsid w:val="0090171B"/>
    <w:rsid w:val="00903E06"/>
    <w:rsid w:val="00911E9B"/>
    <w:rsid w:val="00913F6E"/>
    <w:rsid w:val="009151B7"/>
    <w:rsid w:val="00917D98"/>
    <w:rsid w:val="00925F65"/>
    <w:rsid w:val="00926B5C"/>
    <w:rsid w:val="009329E3"/>
    <w:rsid w:val="00932E30"/>
    <w:rsid w:val="00935D0E"/>
    <w:rsid w:val="00940F7E"/>
    <w:rsid w:val="00944A7E"/>
    <w:rsid w:val="00944DCB"/>
    <w:rsid w:val="009456A2"/>
    <w:rsid w:val="00951BDC"/>
    <w:rsid w:val="0095283F"/>
    <w:rsid w:val="00957AD7"/>
    <w:rsid w:val="00961F89"/>
    <w:rsid w:val="00962366"/>
    <w:rsid w:val="009652A5"/>
    <w:rsid w:val="00966BCB"/>
    <w:rsid w:val="00982207"/>
    <w:rsid w:val="0098690B"/>
    <w:rsid w:val="00991E8D"/>
    <w:rsid w:val="009925B3"/>
    <w:rsid w:val="009948F4"/>
    <w:rsid w:val="00995DE3"/>
    <w:rsid w:val="009971B6"/>
    <w:rsid w:val="00997837"/>
    <w:rsid w:val="009A1092"/>
    <w:rsid w:val="009A34A7"/>
    <w:rsid w:val="009B0DB1"/>
    <w:rsid w:val="009B3829"/>
    <w:rsid w:val="009B7902"/>
    <w:rsid w:val="009B7D64"/>
    <w:rsid w:val="009C084E"/>
    <w:rsid w:val="009C0DDA"/>
    <w:rsid w:val="009C21EF"/>
    <w:rsid w:val="009C3843"/>
    <w:rsid w:val="009C3911"/>
    <w:rsid w:val="009C658D"/>
    <w:rsid w:val="009D0114"/>
    <w:rsid w:val="009E27CB"/>
    <w:rsid w:val="009E28DB"/>
    <w:rsid w:val="00A03F90"/>
    <w:rsid w:val="00A10CE9"/>
    <w:rsid w:val="00A11A9D"/>
    <w:rsid w:val="00A1346D"/>
    <w:rsid w:val="00A1540A"/>
    <w:rsid w:val="00A155F3"/>
    <w:rsid w:val="00A20DA7"/>
    <w:rsid w:val="00A24D6D"/>
    <w:rsid w:val="00A266AD"/>
    <w:rsid w:val="00A3726E"/>
    <w:rsid w:val="00A379F5"/>
    <w:rsid w:val="00A40C9F"/>
    <w:rsid w:val="00A45888"/>
    <w:rsid w:val="00A47777"/>
    <w:rsid w:val="00A47C3F"/>
    <w:rsid w:val="00A5555A"/>
    <w:rsid w:val="00A56428"/>
    <w:rsid w:val="00A56F1F"/>
    <w:rsid w:val="00A635FD"/>
    <w:rsid w:val="00A642BB"/>
    <w:rsid w:val="00A65B24"/>
    <w:rsid w:val="00A701DE"/>
    <w:rsid w:val="00A716D2"/>
    <w:rsid w:val="00A741D8"/>
    <w:rsid w:val="00A82358"/>
    <w:rsid w:val="00A83A13"/>
    <w:rsid w:val="00A9025C"/>
    <w:rsid w:val="00A91703"/>
    <w:rsid w:val="00A935EE"/>
    <w:rsid w:val="00A9471D"/>
    <w:rsid w:val="00A97F9D"/>
    <w:rsid w:val="00AA0A27"/>
    <w:rsid w:val="00AA55B5"/>
    <w:rsid w:val="00AA5B3F"/>
    <w:rsid w:val="00AA6D69"/>
    <w:rsid w:val="00AB1DAA"/>
    <w:rsid w:val="00AB1DF6"/>
    <w:rsid w:val="00AB21DB"/>
    <w:rsid w:val="00AC08A1"/>
    <w:rsid w:val="00AC4DEB"/>
    <w:rsid w:val="00AC7543"/>
    <w:rsid w:val="00AC795F"/>
    <w:rsid w:val="00AE099A"/>
    <w:rsid w:val="00AE1F97"/>
    <w:rsid w:val="00AE31D7"/>
    <w:rsid w:val="00AE37C8"/>
    <w:rsid w:val="00AE70AA"/>
    <w:rsid w:val="00AF16E2"/>
    <w:rsid w:val="00AF1C2D"/>
    <w:rsid w:val="00AF3E29"/>
    <w:rsid w:val="00AF4FB9"/>
    <w:rsid w:val="00B01525"/>
    <w:rsid w:val="00B031E9"/>
    <w:rsid w:val="00B10209"/>
    <w:rsid w:val="00B122A1"/>
    <w:rsid w:val="00B146E5"/>
    <w:rsid w:val="00B2038A"/>
    <w:rsid w:val="00B24C08"/>
    <w:rsid w:val="00B25544"/>
    <w:rsid w:val="00B27D70"/>
    <w:rsid w:val="00B3035C"/>
    <w:rsid w:val="00B327D8"/>
    <w:rsid w:val="00B40260"/>
    <w:rsid w:val="00B41DF6"/>
    <w:rsid w:val="00B42A82"/>
    <w:rsid w:val="00B572BA"/>
    <w:rsid w:val="00B57799"/>
    <w:rsid w:val="00B62412"/>
    <w:rsid w:val="00B64F9C"/>
    <w:rsid w:val="00B7265D"/>
    <w:rsid w:val="00B72AD5"/>
    <w:rsid w:val="00B74E3A"/>
    <w:rsid w:val="00B7612D"/>
    <w:rsid w:val="00B768ED"/>
    <w:rsid w:val="00B77FC8"/>
    <w:rsid w:val="00B9305E"/>
    <w:rsid w:val="00B94280"/>
    <w:rsid w:val="00B966FE"/>
    <w:rsid w:val="00B974E5"/>
    <w:rsid w:val="00BA024A"/>
    <w:rsid w:val="00BC6A3B"/>
    <w:rsid w:val="00BD7CC5"/>
    <w:rsid w:val="00BE13BC"/>
    <w:rsid w:val="00BE2078"/>
    <w:rsid w:val="00BE2C2C"/>
    <w:rsid w:val="00BE2E37"/>
    <w:rsid w:val="00BE59E5"/>
    <w:rsid w:val="00BE7B95"/>
    <w:rsid w:val="00BF464A"/>
    <w:rsid w:val="00BF473A"/>
    <w:rsid w:val="00BF477B"/>
    <w:rsid w:val="00BF5866"/>
    <w:rsid w:val="00BF7566"/>
    <w:rsid w:val="00BF7BBA"/>
    <w:rsid w:val="00C01D7C"/>
    <w:rsid w:val="00C03491"/>
    <w:rsid w:val="00C15585"/>
    <w:rsid w:val="00C15D5F"/>
    <w:rsid w:val="00C23BE0"/>
    <w:rsid w:val="00C2457E"/>
    <w:rsid w:val="00C41F6D"/>
    <w:rsid w:val="00C43708"/>
    <w:rsid w:val="00C444DF"/>
    <w:rsid w:val="00C50D44"/>
    <w:rsid w:val="00C53FC2"/>
    <w:rsid w:val="00C702EB"/>
    <w:rsid w:val="00C733A1"/>
    <w:rsid w:val="00C7437F"/>
    <w:rsid w:val="00C7782A"/>
    <w:rsid w:val="00C92A2D"/>
    <w:rsid w:val="00C95C48"/>
    <w:rsid w:val="00C9619A"/>
    <w:rsid w:val="00CA2EEE"/>
    <w:rsid w:val="00CA7133"/>
    <w:rsid w:val="00CB3EC0"/>
    <w:rsid w:val="00CB65B0"/>
    <w:rsid w:val="00CB6AA3"/>
    <w:rsid w:val="00CC21AF"/>
    <w:rsid w:val="00CC52B1"/>
    <w:rsid w:val="00CC5E39"/>
    <w:rsid w:val="00CD4113"/>
    <w:rsid w:val="00CD6341"/>
    <w:rsid w:val="00CE01EC"/>
    <w:rsid w:val="00CE1079"/>
    <w:rsid w:val="00CE37E5"/>
    <w:rsid w:val="00CE3F7F"/>
    <w:rsid w:val="00CE6A77"/>
    <w:rsid w:val="00CF02C9"/>
    <w:rsid w:val="00CF26F3"/>
    <w:rsid w:val="00CF2A3F"/>
    <w:rsid w:val="00CF586C"/>
    <w:rsid w:val="00CF60C0"/>
    <w:rsid w:val="00CF7777"/>
    <w:rsid w:val="00D07204"/>
    <w:rsid w:val="00D109D0"/>
    <w:rsid w:val="00D10F22"/>
    <w:rsid w:val="00D17149"/>
    <w:rsid w:val="00D21227"/>
    <w:rsid w:val="00D23B50"/>
    <w:rsid w:val="00D2524A"/>
    <w:rsid w:val="00D31856"/>
    <w:rsid w:val="00D3273B"/>
    <w:rsid w:val="00D33860"/>
    <w:rsid w:val="00D362F6"/>
    <w:rsid w:val="00D4336F"/>
    <w:rsid w:val="00D44491"/>
    <w:rsid w:val="00D4518F"/>
    <w:rsid w:val="00D474D8"/>
    <w:rsid w:val="00D500A9"/>
    <w:rsid w:val="00D53D32"/>
    <w:rsid w:val="00D62B9B"/>
    <w:rsid w:val="00D656F4"/>
    <w:rsid w:val="00D7481D"/>
    <w:rsid w:val="00D760BD"/>
    <w:rsid w:val="00D82F5F"/>
    <w:rsid w:val="00D85192"/>
    <w:rsid w:val="00D86724"/>
    <w:rsid w:val="00D9199F"/>
    <w:rsid w:val="00D928FF"/>
    <w:rsid w:val="00D933FA"/>
    <w:rsid w:val="00D94DC8"/>
    <w:rsid w:val="00DA2070"/>
    <w:rsid w:val="00DC0FC3"/>
    <w:rsid w:val="00DC2277"/>
    <w:rsid w:val="00DC2C2B"/>
    <w:rsid w:val="00DD0120"/>
    <w:rsid w:val="00DD10BE"/>
    <w:rsid w:val="00DD79A9"/>
    <w:rsid w:val="00DE6CCD"/>
    <w:rsid w:val="00DF0ACF"/>
    <w:rsid w:val="00DF27CE"/>
    <w:rsid w:val="00E01136"/>
    <w:rsid w:val="00E06E9A"/>
    <w:rsid w:val="00E11987"/>
    <w:rsid w:val="00E120E5"/>
    <w:rsid w:val="00E14AEB"/>
    <w:rsid w:val="00E17291"/>
    <w:rsid w:val="00E17A6E"/>
    <w:rsid w:val="00E21687"/>
    <w:rsid w:val="00E21FAE"/>
    <w:rsid w:val="00E23416"/>
    <w:rsid w:val="00E23C43"/>
    <w:rsid w:val="00E301A4"/>
    <w:rsid w:val="00E31725"/>
    <w:rsid w:val="00E33759"/>
    <w:rsid w:val="00E36896"/>
    <w:rsid w:val="00E377AC"/>
    <w:rsid w:val="00E415DC"/>
    <w:rsid w:val="00E4256F"/>
    <w:rsid w:val="00E4390D"/>
    <w:rsid w:val="00E447A8"/>
    <w:rsid w:val="00E50810"/>
    <w:rsid w:val="00E57093"/>
    <w:rsid w:val="00E60B50"/>
    <w:rsid w:val="00E65BD2"/>
    <w:rsid w:val="00E67BC0"/>
    <w:rsid w:val="00E72190"/>
    <w:rsid w:val="00E72A3F"/>
    <w:rsid w:val="00E77189"/>
    <w:rsid w:val="00E80382"/>
    <w:rsid w:val="00E87D1E"/>
    <w:rsid w:val="00EA4D2A"/>
    <w:rsid w:val="00EA6939"/>
    <w:rsid w:val="00EA70BE"/>
    <w:rsid w:val="00EB04EA"/>
    <w:rsid w:val="00EB4C0A"/>
    <w:rsid w:val="00EB5797"/>
    <w:rsid w:val="00EB6C33"/>
    <w:rsid w:val="00EB6FF1"/>
    <w:rsid w:val="00EC6EC3"/>
    <w:rsid w:val="00EE049A"/>
    <w:rsid w:val="00EE04A0"/>
    <w:rsid w:val="00EE3410"/>
    <w:rsid w:val="00EE3D60"/>
    <w:rsid w:val="00EE617F"/>
    <w:rsid w:val="00EE6CBD"/>
    <w:rsid w:val="00F00E7B"/>
    <w:rsid w:val="00F0460E"/>
    <w:rsid w:val="00F04E25"/>
    <w:rsid w:val="00F064A8"/>
    <w:rsid w:val="00F06C6A"/>
    <w:rsid w:val="00F12336"/>
    <w:rsid w:val="00F2234D"/>
    <w:rsid w:val="00F259E4"/>
    <w:rsid w:val="00F3037E"/>
    <w:rsid w:val="00F308A2"/>
    <w:rsid w:val="00F473E6"/>
    <w:rsid w:val="00F5332D"/>
    <w:rsid w:val="00F54104"/>
    <w:rsid w:val="00F65878"/>
    <w:rsid w:val="00F66907"/>
    <w:rsid w:val="00F7041F"/>
    <w:rsid w:val="00F72643"/>
    <w:rsid w:val="00F74DC9"/>
    <w:rsid w:val="00F7554E"/>
    <w:rsid w:val="00F80B79"/>
    <w:rsid w:val="00F82B39"/>
    <w:rsid w:val="00F84A38"/>
    <w:rsid w:val="00F87346"/>
    <w:rsid w:val="00F87669"/>
    <w:rsid w:val="00F967E4"/>
    <w:rsid w:val="00FA4B10"/>
    <w:rsid w:val="00FB0346"/>
    <w:rsid w:val="00FB0D60"/>
    <w:rsid w:val="00FB6542"/>
    <w:rsid w:val="00FC2144"/>
    <w:rsid w:val="00FC283E"/>
    <w:rsid w:val="00FC78F9"/>
    <w:rsid w:val="00FD7682"/>
    <w:rsid w:val="00FD7D5E"/>
    <w:rsid w:val="00FE12AB"/>
    <w:rsid w:val="00FE18A7"/>
    <w:rsid w:val="00FE22EB"/>
    <w:rsid w:val="00FE6255"/>
    <w:rsid w:val="00FF2CB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00EF4"/>
  <w15:docId w15:val="{4AA15C1F-C9D2-FD49-9F8E-DDD7A39B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37"/>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unhideWhenUsed/>
    <w:qFormat/>
    <w:rsid w:val="00A935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519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E62F7"/>
    <w:pPr>
      <w:keepNext/>
      <w:keepLines/>
      <w:spacing w:before="20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unhideWhenUsed/>
    <w:qFormat/>
    <w:rsid w:val="00D851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C6EC3"/>
    <w:pPr>
      <w:ind w:left="720"/>
    </w:pPr>
    <w:rPr>
      <w:szCs w:val="20"/>
      <w:lang w:val="en-GB"/>
    </w:rPr>
  </w:style>
  <w:style w:type="character" w:customStyle="1" w:styleId="BodyTextIndentChar">
    <w:name w:val="Body Text Indent Char"/>
    <w:basedOn w:val="DefaultParagraphFont"/>
    <w:link w:val="BodyTextIndent"/>
    <w:rsid w:val="00EC6EC3"/>
    <w:rPr>
      <w:rFonts w:ascii="Times New Roman" w:eastAsia="Times New Roman" w:hAnsi="Times New Roman" w:cs="Times New Roman"/>
      <w:szCs w:val="20"/>
      <w:lang w:val="en-GB"/>
    </w:rPr>
  </w:style>
  <w:style w:type="paragraph" w:styleId="Footer">
    <w:name w:val="footer"/>
    <w:basedOn w:val="Normal"/>
    <w:link w:val="FooterChar"/>
    <w:uiPriority w:val="99"/>
    <w:rsid w:val="00EC6EC3"/>
    <w:pPr>
      <w:tabs>
        <w:tab w:val="center" w:pos="4153"/>
        <w:tab w:val="right" w:pos="8306"/>
      </w:tabs>
    </w:pPr>
  </w:style>
  <w:style w:type="character" w:customStyle="1" w:styleId="FooterChar">
    <w:name w:val="Footer Char"/>
    <w:basedOn w:val="DefaultParagraphFont"/>
    <w:link w:val="Footer"/>
    <w:uiPriority w:val="99"/>
    <w:rsid w:val="00EC6EC3"/>
    <w:rPr>
      <w:rFonts w:ascii="Times New Roman" w:eastAsia="Times New Roman" w:hAnsi="Times New Roman" w:cs="Times New Roman"/>
      <w:szCs w:val="24"/>
    </w:rPr>
  </w:style>
  <w:style w:type="paragraph" w:styleId="BodyText">
    <w:name w:val="Body Text"/>
    <w:aliases w:val="body,bt,body text,block,t1,taten_body,b,Cargo,Body,Body Text 1,NoticeText-List,b-heading 1/heading 2,bd,heading1body-heading2body,Body Text Char Char Char Char Char Char,Body Text Char Char Char Char Char"/>
    <w:basedOn w:val="Normal"/>
    <w:link w:val="BodyTextChar"/>
    <w:uiPriority w:val="99"/>
    <w:rsid w:val="00EC6EC3"/>
    <w:pPr>
      <w:spacing w:after="120"/>
    </w:pPr>
    <w:rPr>
      <w:sz w:val="24"/>
      <w:lang w:eastAsia="en-AU"/>
    </w:rPr>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rsid w:val="00EC6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C6EC3"/>
    <w:pPr>
      <w:ind w:left="720"/>
      <w:contextualSpacing/>
      <w:jc w:val="both"/>
    </w:pPr>
    <w:rPr>
      <w:rFonts w:ascii="Calibri" w:hAnsi="Calibri"/>
    </w:rPr>
  </w:style>
  <w:style w:type="character" w:styleId="Hyperlink">
    <w:name w:val="Hyperlink"/>
    <w:basedOn w:val="DefaultParagraphFont"/>
    <w:uiPriority w:val="99"/>
    <w:unhideWhenUsed/>
    <w:rsid w:val="00EC6EC3"/>
    <w:rPr>
      <w:color w:val="0000FF"/>
      <w:u w:val="single"/>
    </w:rPr>
  </w:style>
  <w:style w:type="paragraph" w:styleId="BalloonText">
    <w:name w:val="Balloon Text"/>
    <w:basedOn w:val="Normal"/>
    <w:link w:val="BalloonTextChar"/>
    <w:uiPriority w:val="99"/>
    <w:semiHidden/>
    <w:unhideWhenUsed/>
    <w:rsid w:val="00DC2C2B"/>
    <w:rPr>
      <w:rFonts w:ascii="Tahoma" w:hAnsi="Tahoma" w:cs="Tahoma"/>
      <w:sz w:val="16"/>
      <w:szCs w:val="16"/>
    </w:rPr>
  </w:style>
  <w:style w:type="character" w:customStyle="1" w:styleId="BalloonTextChar">
    <w:name w:val="Balloon Text Char"/>
    <w:basedOn w:val="DefaultParagraphFont"/>
    <w:link w:val="BalloonText"/>
    <w:uiPriority w:val="99"/>
    <w:semiHidden/>
    <w:rsid w:val="00DC2C2B"/>
    <w:rPr>
      <w:rFonts w:ascii="Tahoma" w:eastAsia="Times New Roman" w:hAnsi="Tahoma" w:cs="Tahoma"/>
      <w:sz w:val="16"/>
      <w:szCs w:val="16"/>
    </w:rPr>
  </w:style>
  <w:style w:type="paragraph" w:styleId="Header">
    <w:name w:val="header"/>
    <w:basedOn w:val="Normal"/>
    <w:link w:val="HeaderChar"/>
    <w:unhideWhenUsed/>
    <w:rsid w:val="00DC2C2B"/>
    <w:pPr>
      <w:tabs>
        <w:tab w:val="center" w:pos="4513"/>
        <w:tab w:val="right" w:pos="9026"/>
      </w:tabs>
    </w:pPr>
  </w:style>
  <w:style w:type="character" w:customStyle="1" w:styleId="HeaderChar">
    <w:name w:val="Header Char"/>
    <w:basedOn w:val="DefaultParagraphFont"/>
    <w:link w:val="Header"/>
    <w:rsid w:val="00DC2C2B"/>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85542F"/>
    <w:rPr>
      <w:sz w:val="16"/>
      <w:szCs w:val="16"/>
    </w:rPr>
  </w:style>
  <w:style w:type="paragraph" w:styleId="CommentText">
    <w:name w:val="annotation text"/>
    <w:basedOn w:val="Normal"/>
    <w:link w:val="CommentTextChar"/>
    <w:uiPriority w:val="99"/>
    <w:unhideWhenUsed/>
    <w:rsid w:val="0085542F"/>
    <w:rPr>
      <w:sz w:val="20"/>
      <w:szCs w:val="20"/>
    </w:rPr>
  </w:style>
  <w:style w:type="character" w:customStyle="1" w:styleId="CommentTextChar">
    <w:name w:val="Comment Text Char"/>
    <w:basedOn w:val="DefaultParagraphFont"/>
    <w:link w:val="CommentText"/>
    <w:uiPriority w:val="99"/>
    <w:rsid w:val="008554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542F"/>
    <w:rPr>
      <w:b/>
      <w:bCs/>
    </w:rPr>
  </w:style>
  <w:style w:type="character" w:customStyle="1" w:styleId="CommentSubjectChar">
    <w:name w:val="Comment Subject Char"/>
    <w:basedOn w:val="CommentTextChar"/>
    <w:link w:val="CommentSubject"/>
    <w:uiPriority w:val="99"/>
    <w:semiHidden/>
    <w:rsid w:val="0085542F"/>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D85192"/>
    <w:pPr>
      <w:spacing w:after="120" w:line="480" w:lineRule="auto"/>
      <w:ind w:left="283"/>
    </w:pPr>
  </w:style>
  <w:style w:type="character" w:customStyle="1" w:styleId="BodyTextIndent2Char">
    <w:name w:val="Body Text Indent 2 Char"/>
    <w:basedOn w:val="DefaultParagraphFont"/>
    <w:link w:val="BodyTextIndent2"/>
    <w:uiPriority w:val="99"/>
    <w:rsid w:val="00D85192"/>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D85192"/>
    <w:pPr>
      <w:spacing w:after="120" w:line="480" w:lineRule="auto"/>
    </w:pPr>
  </w:style>
  <w:style w:type="character" w:customStyle="1" w:styleId="BodyText2Char">
    <w:name w:val="Body Text 2 Char"/>
    <w:basedOn w:val="DefaultParagraphFont"/>
    <w:link w:val="BodyText2"/>
    <w:uiPriority w:val="99"/>
    <w:rsid w:val="00D85192"/>
    <w:rPr>
      <w:rFonts w:ascii="Times New Roman" w:eastAsia="Times New Roman" w:hAnsi="Times New Roman" w:cs="Times New Roman"/>
      <w:szCs w:val="24"/>
    </w:rPr>
  </w:style>
  <w:style w:type="character" w:customStyle="1" w:styleId="Heading3Char">
    <w:name w:val="Heading 3 Char"/>
    <w:basedOn w:val="DefaultParagraphFont"/>
    <w:link w:val="Heading3"/>
    <w:rsid w:val="00D85192"/>
    <w:rPr>
      <w:rFonts w:ascii="Cambria" w:eastAsia="Times New Roman" w:hAnsi="Cambria" w:cs="Times New Roman"/>
      <w:b/>
      <w:bCs/>
      <w:sz w:val="26"/>
      <w:szCs w:val="26"/>
    </w:rPr>
  </w:style>
  <w:style w:type="character" w:customStyle="1" w:styleId="Heading9Char">
    <w:name w:val="Heading 9 Char"/>
    <w:basedOn w:val="DefaultParagraphFont"/>
    <w:link w:val="Heading9"/>
    <w:rsid w:val="00D85192"/>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uiPriority w:val="9"/>
    <w:rsid w:val="002E62F7"/>
    <w:rPr>
      <w:rFonts w:asciiTheme="majorHAnsi" w:eastAsiaTheme="majorEastAsia" w:hAnsiTheme="majorHAnsi" w:cstheme="majorBidi"/>
      <w:b/>
      <w:bCs/>
      <w:i/>
      <w:iCs/>
      <w:color w:val="5B9BD5" w:themeColor="accent1"/>
      <w:szCs w:val="24"/>
    </w:rPr>
  </w:style>
  <w:style w:type="character" w:customStyle="1" w:styleId="apple-converted-space">
    <w:name w:val="apple-converted-space"/>
    <w:basedOn w:val="DefaultParagraphFont"/>
    <w:rsid w:val="002E62F7"/>
  </w:style>
  <w:style w:type="paragraph" w:styleId="NormalWeb">
    <w:name w:val="Normal (Web)"/>
    <w:basedOn w:val="Normal"/>
    <w:uiPriority w:val="99"/>
    <w:semiHidden/>
    <w:unhideWhenUsed/>
    <w:rsid w:val="00482BE2"/>
    <w:pPr>
      <w:spacing w:before="100" w:beforeAutospacing="1" w:after="100" w:afterAutospacing="1"/>
    </w:pPr>
    <w:rPr>
      <w:rFonts w:eastAsiaTheme="minorEastAsia"/>
      <w:sz w:val="24"/>
      <w:lang w:eastAsia="en-AU"/>
    </w:rPr>
  </w:style>
  <w:style w:type="character" w:customStyle="1" w:styleId="UnresolvedMention1">
    <w:name w:val="Unresolved Mention1"/>
    <w:basedOn w:val="DefaultParagraphFont"/>
    <w:uiPriority w:val="99"/>
    <w:semiHidden/>
    <w:unhideWhenUsed/>
    <w:rsid w:val="00482BE2"/>
    <w:rPr>
      <w:color w:val="808080"/>
      <w:shd w:val="clear" w:color="auto" w:fill="E6E6E6"/>
    </w:rPr>
  </w:style>
  <w:style w:type="paragraph" w:styleId="Title">
    <w:name w:val="Title"/>
    <w:basedOn w:val="Normal"/>
    <w:link w:val="TitleChar"/>
    <w:qFormat/>
    <w:rsid w:val="00882D31"/>
    <w:pPr>
      <w:jc w:val="center"/>
    </w:pPr>
    <w:rPr>
      <w:rFonts w:eastAsia="SimSun"/>
      <w:sz w:val="28"/>
      <w:lang w:val="en-US"/>
    </w:rPr>
  </w:style>
  <w:style w:type="character" w:customStyle="1" w:styleId="TitleChar">
    <w:name w:val="Title Char"/>
    <w:basedOn w:val="DefaultParagraphFont"/>
    <w:link w:val="Title"/>
    <w:rsid w:val="00882D31"/>
    <w:rPr>
      <w:rFonts w:ascii="Times New Roman" w:eastAsia="SimSun" w:hAnsi="Times New Roman" w:cs="Times New Roman"/>
      <w:sz w:val="28"/>
      <w:szCs w:val="24"/>
      <w:lang w:val="en-US"/>
    </w:rPr>
  </w:style>
  <w:style w:type="paragraph" w:styleId="BodyTextIndent3">
    <w:name w:val="Body Text Indent 3"/>
    <w:basedOn w:val="Normal"/>
    <w:link w:val="BodyTextIndent3Char"/>
    <w:rsid w:val="00882D31"/>
    <w:pPr>
      <w:spacing w:after="120"/>
      <w:ind w:left="283"/>
    </w:pPr>
    <w:rPr>
      <w:rFonts w:ascii="Arial" w:eastAsia="SimSun" w:hAnsi="Arial"/>
      <w:sz w:val="16"/>
      <w:szCs w:val="16"/>
    </w:rPr>
  </w:style>
  <w:style w:type="character" w:customStyle="1" w:styleId="BodyTextIndent3Char">
    <w:name w:val="Body Text Indent 3 Char"/>
    <w:basedOn w:val="DefaultParagraphFont"/>
    <w:link w:val="BodyTextIndent3"/>
    <w:rsid w:val="00882D31"/>
    <w:rPr>
      <w:rFonts w:ascii="Arial" w:eastAsia="SimSun" w:hAnsi="Arial" w:cs="Times New Roman"/>
      <w:sz w:val="16"/>
      <w:szCs w:val="16"/>
    </w:rPr>
  </w:style>
  <w:style w:type="paragraph" w:customStyle="1" w:styleId="AppTableInsert">
    <w:name w:val="App Table Insert"/>
    <w:basedOn w:val="Normal"/>
    <w:rsid w:val="00882D31"/>
    <w:pPr>
      <w:tabs>
        <w:tab w:val="left" w:pos="567"/>
        <w:tab w:val="left" w:pos="1134"/>
        <w:tab w:val="left" w:pos="1701"/>
        <w:tab w:val="left" w:pos="2268"/>
      </w:tabs>
    </w:pPr>
    <w:rPr>
      <w:rFonts w:ascii="Arial" w:hAnsi="Arial" w:cs="Arial"/>
      <w:sz w:val="20"/>
      <w:szCs w:val="20"/>
    </w:rPr>
  </w:style>
  <w:style w:type="paragraph" w:styleId="FootnoteText">
    <w:name w:val="footnote text"/>
    <w:basedOn w:val="Normal"/>
    <w:link w:val="FootnoteTextChar"/>
    <w:rsid w:val="00CE6A77"/>
    <w:rPr>
      <w:sz w:val="20"/>
      <w:szCs w:val="20"/>
    </w:rPr>
  </w:style>
  <w:style w:type="character" w:customStyle="1" w:styleId="FootnoteTextChar">
    <w:name w:val="Footnote Text Char"/>
    <w:basedOn w:val="DefaultParagraphFont"/>
    <w:link w:val="FootnoteText"/>
    <w:rsid w:val="00CE6A77"/>
    <w:rPr>
      <w:rFonts w:ascii="Times New Roman" w:eastAsia="Times New Roman" w:hAnsi="Times New Roman" w:cs="Times New Roman"/>
      <w:sz w:val="20"/>
      <w:szCs w:val="20"/>
    </w:rPr>
  </w:style>
  <w:style w:type="paragraph" w:customStyle="1" w:styleId="Default">
    <w:name w:val="Default"/>
    <w:rsid w:val="00161BE4"/>
    <w:pPr>
      <w:autoSpaceDE w:val="0"/>
      <w:autoSpaceDN w:val="0"/>
      <w:adjustRightInd w:val="0"/>
      <w:spacing w:after="0" w:line="240" w:lineRule="auto"/>
    </w:pPr>
    <w:rPr>
      <w:rFonts w:ascii="Arial" w:eastAsia="Calibri" w:hAnsi="Arial" w:cs="Arial"/>
      <w:color w:val="000000"/>
      <w:sz w:val="24"/>
      <w:szCs w:val="24"/>
      <w:lang w:eastAsia="en-AU"/>
    </w:rPr>
  </w:style>
  <w:style w:type="paragraph" w:styleId="NoSpacing">
    <w:name w:val="No Spacing"/>
    <w:uiPriority w:val="1"/>
    <w:qFormat/>
    <w:rsid w:val="00B7612D"/>
    <w:pPr>
      <w:spacing w:after="0" w:line="240" w:lineRule="auto"/>
    </w:pPr>
    <w:rPr>
      <w:rFonts w:ascii="Arial" w:eastAsia="Times New Roman" w:hAnsi="Arial" w:cs="Times New Roman"/>
      <w:sz w:val="20"/>
      <w:szCs w:val="24"/>
    </w:rPr>
  </w:style>
  <w:style w:type="paragraph" w:styleId="BodyText3">
    <w:name w:val="Body Text 3"/>
    <w:basedOn w:val="Normal"/>
    <w:link w:val="BodyText3Char"/>
    <w:uiPriority w:val="99"/>
    <w:semiHidden/>
    <w:unhideWhenUsed/>
    <w:rsid w:val="00B7612D"/>
    <w:pPr>
      <w:spacing w:after="120"/>
    </w:pPr>
    <w:rPr>
      <w:sz w:val="16"/>
      <w:szCs w:val="16"/>
    </w:rPr>
  </w:style>
  <w:style w:type="character" w:customStyle="1" w:styleId="BodyText3Char">
    <w:name w:val="Body Text 3 Char"/>
    <w:basedOn w:val="DefaultParagraphFont"/>
    <w:link w:val="BodyText3"/>
    <w:uiPriority w:val="99"/>
    <w:semiHidden/>
    <w:rsid w:val="00B7612D"/>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225004"/>
    <w:rPr>
      <w:color w:val="954F72" w:themeColor="followedHyperlink"/>
      <w:u w:val="single"/>
    </w:rPr>
  </w:style>
  <w:style w:type="character" w:customStyle="1" w:styleId="Heading2Char">
    <w:name w:val="Heading 2 Char"/>
    <w:basedOn w:val="DefaultParagraphFont"/>
    <w:link w:val="Heading2"/>
    <w:uiPriority w:val="9"/>
    <w:rsid w:val="00A935E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E1EC5"/>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652">
      <w:bodyDiv w:val="1"/>
      <w:marLeft w:val="0"/>
      <w:marRight w:val="0"/>
      <w:marTop w:val="0"/>
      <w:marBottom w:val="0"/>
      <w:divBdr>
        <w:top w:val="none" w:sz="0" w:space="0" w:color="auto"/>
        <w:left w:val="none" w:sz="0" w:space="0" w:color="auto"/>
        <w:bottom w:val="none" w:sz="0" w:space="0" w:color="auto"/>
        <w:right w:val="none" w:sz="0" w:space="0" w:color="auto"/>
      </w:divBdr>
    </w:div>
    <w:div w:id="210775132">
      <w:bodyDiv w:val="1"/>
      <w:marLeft w:val="0"/>
      <w:marRight w:val="0"/>
      <w:marTop w:val="0"/>
      <w:marBottom w:val="0"/>
      <w:divBdr>
        <w:top w:val="none" w:sz="0" w:space="0" w:color="auto"/>
        <w:left w:val="none" w:sz="0" w:space="0" w:color="auto"/>
        <w:bottom w:val="none" w:sz="0" w:space="0" w:color="auto"/>
        <w:right w:val="none" w:sz="0" w:space="0" w:color="auto"/>
      </w:divBdr>
    </w:div>
    <w:div w:id="236522375">
      <w:bodyDiv w:val="1"/>
      <w:marLeft w:val="0"/>
      <w:marRight w:val="0"/>
      <w:marTop w:val="0"/>
      <w:marBottom w:val="0"/>
      <w:divBdr>
        <w:top w:val="none" w:sz="0" w:space="0" w:color="auto"/>
        <w:left w:val="none" w:sz="0" w:space="0" w:color="auto"/>
        <w:bottom w:val="none" w:sz="0" w:space="0" w:color="auto"/>
        <w:right w:val="none" w:sz="0" w:space="0" w:color="auto"/>
      </w:divBdr>
      <w:divsChild>
        <w:div w:id="1647971002">
          <w:marLeft w:val="0"/>
          <w:marRight w:val="0"/>
          <w:marTop w:val="0"/>
          <w:marBottom w:val="0"/>
          <w:divBdr>
            <w:top w:val="none" w:sz="0" w:space="0" w:color="auto"/>
            <w:left w:val="none" w:sz="0" w:space="0" w:color="auto"/>
            <w:bottom w:val="none" w:sz="0" w:space="0" w:color="auto"/>
            <w:right w:val="none" w:sz="0" w:space="0" w:color="auto"/>
          </w:divBdr>
          <w:divsChild>
            <w:div w:id="604580312">
              <w:marLeft w:val="0"/>
              <w:marRight w:val="0"/>
              <w:marTop w:val="0"/>
              <w:marBottom w:val="0"/>
              <w:divBdr>
                <w:top w:val="none" w:sz="0" w:space="0" w:color="auto"/>
                <w:left w:val="none" w:sz="0" w:space="0" w:color="auto"/>
                <w:bottom w:val="none" w:sz="0" w:space="0" w:color="auto"/>
                <w:right w:val="none" w:sz="0" w:space="0" w:color="auto"/>
              </w:divBdr>
              <w:divsChild>
                <w:div w:id="8504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49112">
      <w:bodyDiv w:val="1"/>
      <w:marLeft w:val="0"/>
      <w:marRight w:val="0"/>
      <w:marTop w:val="0"/>
      <w:marBottom w:val="0"/>
      <w:divBdr>
        <w:top w:val="none" w:sz="0" w:space="0" w:color="auto"/>
        <w:left w:val="none" w:sz="0" w:space="0" w:color="auto"/>
        <w:bottom w:val="none" w:sz="0" w:space="0" w:color="auto"/>
        <w:right w:val="none" w:sz="0" w:space="0" w:color="auto"/>
      </w:divBdr>
      <w:divsChild>
        <w:div w:id="1402484904">
          <w:marLeft w:val="0"/>
          <w:marRight w:val="0"/>
          <w:marTop w:val="0"/>
          <w:marBottom w:val="0"/>
          <w:divBdr>
            <w:top w:val="none" w:sz="0" w:space="0" w:color="auto"/>
            <w:left w:val="none" w:sz="0" w:space="0" w:color="auto"/>
            <w:bottom w:val="none" w:sz="0" w:space="0" w:color="auto"/>
            <w:right w:val="none" w:sz="0" w:space="0" w:color="auto"/>
          </w:divBdr>
          <w:divsChild>
            <w:div w:id="229389668">
              <w:marLeft w:val="0"/>
              <w:marRight w:val="0"/>
              <w:marTop w:val="0"/>
              <w:marBottom w:val="0"/>
              <w:divBdr>
                <w:top w:val="none" w:sz="0" w:space="0" w:color="auto"/>
                <w:left w:val="none" w:sz="0" w:space="0" w:color="auto"/>
                <w:bottom w:val="none" w:sz="0" w:space="0" w:color="auto"/>
                <w:right w:val="none" w:sz="0" w:space="0" w:color="auto"/>
              </w:divBdr>
              <w:divsChild>
                <w:div w:id="8913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9087">
      <w:bodyDiv w:val="1"/>
      <w:marLeft w:val="0"/>
      <w:marRight w:val="0"/>
      <w:marTop w:val="0"/>
      <w:marBottom w:val="0"/>
      <w:divBdr>
        <w:top w:val="none" w:sz="0" w:space="0" w:color="auto"/>
        <w:left w:val="none" w:sz="0" w:space="0" w:color="auto"/>
        <w:bottom w:val="none" w:sz="0" w:space="0" w:color="auto"/>
        <w:right w:val="none" w:sz="0" w:space="0" w:color="auto"/>
      </w:divBdr>
    </w:div>
    <w:div w:id="368606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6676">
          <w:marLeft w:val="0"/>
          <w:marRight w:val="0"/>
          <w:marTop w:val="0"/>
          <w:marBottom w:val="0"/>
          <w:divBdr>
            <w:top w:val="none" w:sz="0" w:space="0" w:color="auto"/>
            <w:left w:val="none" w:sz="0" w:space="0" w:color="auto"/>
            <w:bottom w:val="none" w:sz="0" w:space="0" w:color="auto"/>
            <w:right w:val="none" w:sz="0" w:space="0" w:color="auto"/>
          </w:divBdr>
          <w:divsChild>
            <w:div w:id="350107364">
              <w:marLeft w:val="0"/>
              <w:marRight w:val="0"/>
              <w:marTop w:val="0"/>
              <w:marBottom w:val="0"/>
              <w:divBdr>
                <w:top w:val="none" w:sz="0" w:space="0" w:color="auto"/>
                <w:left w:val="none" w:sz="0" w:space="0" w:color="auto"/>
                <w:bottom w:val="none" w:sz="0" w:space="0" w:color="auto"/>
                <w:right w:val="none" w:sz="0" w:space="0" w:color="auto"/>
              </w:divBdr>
              <w:divsChild>
                <w:div w:id="8226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5509">
      <w:bodyDiv w:val="1"/>
      <w:marLeft w:val="0"/>
      <w:marRight w:val="0"/>
      <w:marTop w:val="0"/>
      <w:marBottom w:val="0"/>
      <w:divBdr>
        <w:top w:val="none" w:sz="0" w:space="0" w:color="auto"/>
        <w:left w:val="none" w:sz="0" w:space="0" w:color="auto"/>
        <w:bottom w:val="none" w:sz="0" w:space="0" w:color="auto"/>
        <w:right w:val="none" w:sz="0" w:space="0" w:color="auto"/>
      </w:divBdr>
      <w:divsChild>
        <w:div w:id="965234621">
          <w:marLeft w:val="0"/>
          <w:marRight w:val="0"/>
          <w:marTop w:val="0"/>
          <w:marBottom w:val="0"/>
          <w:divBdr>
            <w:top w:val="none" w:sz="0" w:space="0" w:color="auto"/>
            <w:left w:val="none" w:sz="0" w:space="0" w:color="auto"/>
            <w:bottom w:val="none" w:sz="0" w:space="0" w:color="auto"/>
            <w:right w:val="none" w:sz="0" w:space="0" w:color="auto"/>
          </w:divBdr>
          <w:divsChild>
            <w:div w:id="1930691983">
              <w:marLeft w:val="0"/>
              <w:marRight w:val="0"/>
              <w:marTop w:val="0"/>
              <w:marBottom w:val="0"/>
              <w:divBdr>
                <w:top w:val="none" w:sz="0" w:space="0" w:color="auto"/>
                <w:left w:val="none" w:sz="0" w:space="0" w:color="auto"/>
                <w:bottom w:val="none" w:sz="0" w:space="0" w:color="auto"/>
                <w:right w:val="none" w:sz="0" w:space="0" w:color="auto"/>
              </w:divBdr>
              <w:divsChild>
                <w:div w:id="7083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3462">
      <w:bodyDiv w:val="1"/>
      <w:marLeft w:val="0"/>
      <w:marRight w:val="0"/>
      <w:marTop w:val="0"/>
      <w:marBottom w:val="0"/>
      <w:divBdr>
        <w:top w:val="none" w:sz="0" w:space="0" w:color="auto"/>
        <w:left w:val="none" w:sz="0" w:space="0" w:color="auto"/>
        <w:bottom w:val="none" w:sz="0" w:space="0" w:color="auto"/>
        <w:right w:val="none" w:sz="0" w:space="0" w:color="auto"/>
      </w:divBdr>
      <w:divsChild>
        <w:div w:id="247614166">
          <w:marLeft w:val="0"/>
          <w:marRight w:val="0"/>
          <w:marTop w:val="0"/>
          <w:marBottom w:val="0"/>
          <w:divBdr>
            <w:top w:val="none" w:sz="0" w:space="0" w:color="auto"/>
            <w:left w:val="none" w:sz="0" w:space="0" w:color="auto"/>
            <w:bottom w:val="none" w:sz="0" w:space="0" w:color="auto"/>
            <w:right w:val="none" w:sz="0" w:space="0" w:color="auto"/>
          </w:divBdr>
          <w:divsChild>
            <w:div w:id="1318605470">
              <w:marLeft w:val="0"/>
              <w:marRight w:val="0"/>
              <w:marTop w:val="0"/>
              <w:marBottom w:val="0"/>
              <w:divBdr>
                <w:top w:val="none" w:sz="0" w:space="0" w:color="auto"/>
                <w:left w:val="none" w:sz="0" w:space="0" w:color="auto"/>
                <w:bottom w:val="none" w:sz="0" w:space="0" w:color="auto"/>
                <w:right w:val="none" w:sz="0" w:space="0" w:color="auto"/>
              </w:divBdr>
              <w:divsChild>
                <w:div w:id="7958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93">
      <w:bodyDiv w:val="1"/>
      <w:marLeft w:val="0"/>
      <w:marRight w:val="0"/>
      <w:marTop w:val="0"/>
      <w:marBottom w:val="0"/>
      <w:divBdr>
        <w:top w:val="none" w:sz="0" w:space="0" w:color="auto"/>
        <w:left w:val="none" w:sz="0" w:space="0" w:color="auto"/>
        <w:bottom w:val="none" w:sz="0" w:space="0" w:color="auto"/>
        <w:right w:val="none" w:sz="0" w:space="0" w:color="auto"/>
      </w:divBdr>
    </w:div>
    <w:div w:id="629359363">
      <w:bodyDiv w:val="1"/>
      <w:marLeft w:val="0"/>
      <w:marRight w:val="0"/>
      <w:marTop w:val="0"/>
      <w:marBottom w:val="0"/>
      <w:divBdr>
        <w:top w:val="none" w:sz="0" w:space="0" w:color="auto"/>
        <w:left w:val="none" w:sz="0" w:space="0" w:color="auto"/>
        <w:bottom w:val="none" w:sz="0" w:space="0" w:color="auto"/>
        <w:right w:val="none" w:sz="0" w:space="0" w:color="auto"/>
      </w:divBdr>
    </w:div>
    <w:div w:id="743259757">
      <w:bodyDiv w:val="1"/>
      <w:marLeft w:val="0"/>
      <w:marRight w:val="0"/>
      <w:marTop w:val="0"/>
      <w:marBottom w:val="0"/>
      <w:divBdr>
        <w:top w:val="none" w:sz="0" w:space="0" w:color="auto"/>
        <w:left w:val="none" w:sz="0" w:space="0" w:color="auto"/>
        <w:bottom w:val="none" w:sz="0" w:space="0" w:color="auto"/>
        <w:right w:val="none" w:sz="0" w:space="0" w:color="auto"/>
      </w:divBdr>
    </w:div>
    <w:div w:id="879979462">
      <w:bodyDiv w:val="1"/>
      <w:marLeft w:val="0"/>
      <w:marRight w:val="0"/>
      <w:marTop w:val="0"/>
      <w:marBottom w:val="0"/>
      <w:divBdr>
        <w:top w:val="none" w:sz="0" w:space="0" w:color="auto"/>
        <w:left w:val="none" w:sz="0" w:space="0" w:color="auto"/>
        <w:bottom w:val="none" w:sz="0" w:space="0" w:color="auto"/>
        <w:right w:val="none" w:sz="0" w:space="0" w:color="auto"/>
      </w:divBdr>
      <w:divsChild>
        <w:div w:id="1137184423">
          <w:marLeft w:val="0"/>
          <w:marRight w:val="0"/>
          <w:marTop w:val="0"/>
          <w:marBottom w:val="0"/>
          <w:divBdr>
            <w:top w:val="none" w:sz="0" w:space="0" w:color="auto"/>
            <w:left w:val="none" w:sz="0" w:space="0" w:color="auto"/>
            <w:bottom w:val="none" w:sz="0" w:space="0" w:color="auto"/>
            <w:right w:val="none" w:sz="0" w:space="0" w:color="auto"/>
          </w:divBdr>
          <w:divsChild>
            <w:div w:id="1243488804">
              <w:marLeft w:val="0"/>
              <w:marRight w:val="0"/>
              <w:marTop w:val="0"/>
              <w:marBottom w:val="0"/>
              <w:divBdr>
                <w:top w:val="none" w:sz="0" w:space="0" w:color="auto"/>
                <w:left w:val="none" w:sz="0" w:space="0" w:color="auto"/>
                <w:bottom w:val="none" w:sz="0" w:space="0" w:color="auto"/>
                <w:right w:val="none" w:sz="0" w:space="0" w:color="auto"/>
              </w:divBdr>
              <w:divsChild>
                <w:div w:id="6903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2208">
      <w:bodyDiv w:val="1"/>
      <w:marLeft w:val="0"/>
      <w:marRight w:val="0"/>
      <w:marTop w:val="0"/>
      <w:marBottom w:val="0"/>
      <w:divBdr>
        <w:top w:val="none" w:sz="0" w:space="0" w:color="auto"/>
        <w:left w:val="none" w:sz="0" w:space="0" w:color="auto"/>
        <w:bottom w:val="none" w:sz="0" w:space="0" w:color="auto"/>
        <w:right w:val="none" w:sz="0" w:space="0" w:color="auto"/>
      </w:divBdr>
    </w:div>
    <w:div w:id="904148761">
      <w:bodyDiv w:val="1"/>
      <w:marLeft w:val="0"/>
      <w:marRight w:val="0"/>
      <w:marTop w:val="0"/>
      <w:marBottom w:val="0"/>
      <w:divBdr>
        <w:top w:val="none" w:sz="0" w:space="0" w:color="auto"/>
        <w:left w:val="none" w:sz="0" w:space="0" w:color="auto"/>
        <w:bottom w:val="none" w:sz="0" w:space="0" w:color="auto"/>
        <w:right w:val="none" w:sz="0" w:space="0" w:color="auto"/>
      </w:divBdr>
      <w:divsChild>
        <w:div w:id="161437760">
          <w:marLeft w:val="0"/>
          <w:marRight w:val="0"/>
          <w:marTop w:val="0"/>
          <w:marBottom w:val="0"/>
          <w:divBdr>
            <w:top w:val="none" w:sz="0" w:space="0" w:color="auto"/>
            <w:left w:val="none" w:sz="0" w:space="0" w:color="auto"/>
            <w:bottom w:val="none" w:sz="0" w:space="0" w:color="auto"/>
            <w:right w:val="none" w:sz="0" w:space="0" w:color="auto"/>
          </w:divBdr>
          <w:divsChild>
            <w:div w:id="57048860">
              <w:marLeft w:val="0"/>
              <w:marRight w:val="0"/>
              <w:marTop w:val="0"/>
              <w:marBottom w:val="0"/>
              <w:divBdr>
                <w:top w:val="none" w:sz="0" w:space="0" w:color="auto"/>
                <w:left w:val="none" w:sz="0" w:space="0" w:color="auto"/>
                <w:bottom w:val="none" w:sz="0" w:space="0" w:color="auto"/>
                <w:right w:val="none" w:sz="0" w:space="0" w:color="auto"/>
              </w:divBdr>
              <w:divsChild>
                <w:div w:id="829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1856">
      <w:bodyDiv w:val="1"/>
      <w:marLeft w:val="0"/>
      <w:marRight w:val="0"/>
      <w:marTop w:val="0"/>
      <w:marBottom w:val="0"/>
      <w:divBdr>
        <w:top w:val="none" w:sz="0" w:space="0" w:color="auto"/>
        <w:left w:val="none" w:sz="0" w:space="0" w:color="auto"/>
        <w:bottom w:val="none" w:sz="0" w:space="0" w:color="auto"/>
        <w:right w:val="none" w:sz="0" w:space="0" w:color="auto"/>
      </w:divBdr>
    </w:div>
    <w:div w:id="1042168133">
      <w:bodyDiv w:val="1"/>
      <w:marLeft w:val="0"/>
      <w:marRight w:val="0"/>
      <w:marTop w:val="0"/>
      <w:marBottom w:val="0"/>
      <w:divBdr>
        <w:top w:val="none" w:sz="0" w:space="0" w:color="auto"/>
        <w:left w:val="none" w:sz="0" w:space="0" w:color="auto"/>
        <w:bottom w:val="none" w:sz="0" w:space="0" w:color="auto"/>
        <w:right w:val="none" w:sz="0" w:space="0" w:color="auto"/>
      </w:divBdr>
      <w:divsChild>
        <w:div w:id="191769154">
          <w:marLeft w:val="0"/>
          <w:marRight w:val="0"/>
          <w:marTop w:val="0"/>
          <w:marBottom w:val="0"/>
          <w:divBdr>
            <w:top w:val="none" w:sz="0" w:space="0" w:color="auto"/>
            <w:left w:val="none" w:sz="0" w:space="0" w:color="auto"/>
            <w:bottom w:val="none" w:sz="0" w:space="0" w:color="auto"/>
            <w:right w:val="none" w:sz="0" w:space="0" w:color="auto"/>
          </w:divBdr>
          <w:divsChild>
            <w:div w:id="783958741">
              <w:marLeft w:val="0"/>
              <w:marRight w:val="0"/>
              <w:marTop w:val="0"/>
              <w:marBottom w:val="0"/>
              <w:divBdr>
                <w:top w:val="none" w:sz="0" w:space="0" w:color="auto"/>
                <w:left w:val="none" w:sz="0" w:space="0" w:color="auto"/>
                <w:bottom w:val="none" w:sz="0" w:space="0" w:color="auto"/>
                <w:right w:val="none" w:sz="0" w:space="0" w:color="auto"/>
              </w:divBdr>
              <w:divsChild>
                <w:div w:id="16582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3663">
      <w:bodyDiv w:val="1"/>
      <w:marLeft w:val="0"/>
      <w:marRight w:val="0"/>
      <w:marTop w:val="0"/>
      <w:marBottom w:val="0"/>
      <w:divBdr>
        <w:top w:val="none" w:sz="0" w:space="0" w:color="auto"/>
        <w:left w:val="none" w:sz="0" w:space="0" w:color="auto"/>
        <w:bottom w:val="none" w:sz="0" w:space="0" w:color="auto"/>
        <w:right w:val="none" w:sz="0" w:space="0" w:color="auto"/>
      </w:divBdr>
    </w:div>
    <w:div w:id="1092820799">
      <w:bodyDiv w:val="1"/>
      <w:marLeft w:val="0"/>
      <w:marRight w:val="0"/>
      <w:marTop w:val="0"/>
      <w:marBottom w:val="0"/>
      <w:divBdr>
        <w:top w:val="none" w:sz="0" w:space="0" w:color="auto"/>
        <w:left w:val="none" w:sz="0" w:space="0" w:color="auto"/>
        <w:bottom w:val="none" w:sz="0" w:space="0" w:color="auto"/>
        <w:right w:val="none" w:sz="0" w:space="0" w:color="auto"/>
      </w:divBdr>
      <w:divsChild>
        <w:div w:id="794056812">
          <w:marLeft w:val="0"/>
          <w:marRight w:val="0"/>
          <w:marTop w:val="0"/>
          <w:marBottom w:val="0"/>
          <w:divBdr>
            <w:top w:val="none" w:sz="0" w:space="0" w:color="auto"/>
            <w:left w:val="none" w:sz="0" w:space="0" w:color="auto"/>
            <w:bottom w:val="none" w:sz="0" w:space="0" w:color="auto"/>
            <w:right w:val="none" w:sz="0" w:space="0" w:color="auto"/>
          </w:divBdr>
          <w:divsChild>
            <w:div w:id="61686176">
              <w:marLeft w:val="0"/>
              <w:marRight w:val="0"/>
              <w:marTop w:val="0"/>
              <w:marBottom w:val="0"/>
              <w:divBdr>
                <w:top w:val="none" w:sz="0" w:space="0" w:color="auto"/>
                <w:left w:val="none" w:sz="0" w:space="0" w:color="auto"/>
                <w:bottom w:val="none" w:sz="0" w:space="0" w:color="auto"/>
                <w:right w:val="none" w:sz="0" w:space="0" w:color="auto"/>
              </w:divBdr>
              <w:divsChild>
                <w:div w:id="13543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2920">
      <w:bodyDiv w:val="1"/>
      <w:marLeft w:val="0"/>
      <w:marRight w:val="0"/>
      <w:marTop w:val="0"/>
      <w:marBottom w:val="0"/>
      <w:divBdr>
        <w:top w:val="none" w:sz="0" w:space="0" w:color="auto"/>
        <w:left w:val="none" w:sz="0" w:space="0" w:color="auto"/>
        <w:bottom w:val="none" w:sz="0" w:space="0" w:color="auto"/>
        <w:right w:val="none" w:sz="0" w:space="0" w:color="auto"/>
      </w:divBdr>
    </w:div>
    <w:div w:id="1393114825">
      <w:bodyDiv w:val="1"/>
      <w:marLeft w:val="0"/>
      <w:marRight w:val="0"/>
      <w:marTop w:val="0"/>
      <w:marBottom w:val="0"/>
      <w:divBdr>
        <w:top w:val="none" w:sz="0" w:space="0" w:color="auto"/>
        <w:left w:val="none" w:sz="0" w:space="0" w:color="auto"/>
        <w:bottom w:val="none" w:sz="0" w:space="0" w:color="auto"/>
        <w:right w:val="none" w:sz="0" w:space="0" w:color="auto"/>
      </w:divBdr>
    </w:div>
    <w:div w:id="1708530963">
      <w:bodyDiv w:val="1"/>
      <w:marLeft w:val="0"/>
      <w:marRight w:val="0"/>
      <w:marTop w:val="0"/>
      <w:marBottom w:val="0"/>
      <w:divBdr>
        <w:top w:val="none" w:sz="0" w:space="0" w:color="auto"/>
        <w:left w:val="none" w:sz="0" w:space="0" w:color="auto"/>
        <w:bottom w:val="none" w:sz="0" w:space="0" w:color="auto"/>
        <w:right w:val="none" w:sz="0" w:space="0" w:color="auto"/>
      </w:divBdr>
    </w:div>
    <w:div w:id="1726560140">
      <w:bodyDiv w:val="1"/>
      <w:marLeft w:val="0"/>
      <w:marRight w:val="0"/>
      <w:marTop w:val="0"/>
      <w:marBottom w:val="0"/>
      <w:divBdr>
        <w:top w:val="none" w:sz="0" w:space="0" w:color="auto"/>
        <w:left w:val="none" w:sz="0" w:space="0" w:color="auto"/>
        <w:bottom w:val="none" w:sz="0" w:space="0" w:color="auto"/>
        <w:right w:val="none" w:sz="0" w:space="0" w:color="auto"/>
      </w:divBdr>
      <w:divsChild>
        <w:div w:id="529682160">
          <w:marLeft w:val="0"/>
          <w:marRight w:val="0"/>
          <w:marTop w:val="0"/>
          <w:marBottom w:val="0"/>
          <w:divBdr>
            <w:top w:val="none" w:sz="0" w:space="0" w:color="auto"/>
            <w:left w:val="none" w:sz="0" w:space="0" w:color="auto"/>
            <w:bottom w:val="none" w:sz="0" w:space="0" w:color="auto"/>
            <w:right w:val="none" w:sz="0" w:space="0" w:color="auto"/>
          </w:divBdr>
          <w:divsChild>
            <w:div w:id="65034314">
              <w:marLeft w:val="0"/>
              <w:marRight w:val="0"/>
              <w:marTop w:val="0"/>
              <w:marBottom w:val="0"/>
              <w:divBdr>
                <w:top w:val="none" w:sz="0" w:space="0" w:color="auto"/>
                <w:left w:val="none" w:sz="0" w:space="0" w:color="auto"/>
                <w:bottom w:val="none" w:sz="0" w:space="0" w:color="auto"/>
                <w:right w:val="none" w:sz="0" w:space="0" w:color="auto"/>
              </w:divBdr>
              <w:divsChild>
                <w:div w:id="15988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6112">
      <w:bodyDiv w:val="1"/>
      <w:marLeft w:val="0"/>
      <w:marRight w:val="0"/>
      <w:marTop w:val="0"/>
      <w:marBottom w:val="0"/>
      <w:divBdr>
        <w:top w:val="none" w:sz="0" w:space="0" w:color="auto"/>
        <w:left w:val="none" w:sz="0" w:space="0" w:color="auto"/>
        <w:bottom w:val="none" w:sz="0" w:space="0" w:color="auto"/>
        <w:right w:val="none" w:sz="0" w:space="0" w:color="auto"/>
      </w:divBdr>
      <w:divsChild>
        <w:div w:id="1545408863">
          <w:marLeft w:val="0"/>
          <w:marRight w:val="0"/>
          <w:marTop w:val="0"/>
          <w:marBottom w:val="0"/>
          <w:divBdr>
            <w:top w:val="none" w:sz="0" w:space="0" w:color="auto"/>
            <w:left w:val="none" w:sz="0" w:space="0" w:color="auto"/>
            <w:bottom w:val="none" w:sz="0" w:space="0" w:color="auto"/>
            <w:right w:val="none" w:sz="0" w:space="0" w:color="auto"/>
          </w:divBdr>
          <w:divsChild>
            <w:div w:id="1652103659">
              <w:marLeft w:val="0"/>
              <w:marRight w:val="0"/>
              <w:marTop w:val="0"/>
              <w:marBottom w:val="0"/>
              <w:divBdr>
                <w:top w:val="none" w:sz="0" w:space="0" w:color="auto"/>
                <w:left w:val="none" w:sz="0" w:space="0" w:color="auto"/>
                <w:bottom w:val="none" w:sz="0" w:space="0" w:color="auto"/>
                <w:right w:val="none" w:sz="0" w:space="0" w:color="auto"/>
              </w:divBdr>
              <w:divsChild>
                <w:div w:id="296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3716">
      <w:bodyDiv w:val="1"/>
      <w:marLeft w:val="0"/>
      <w:marRight w:val="0"/>
      <w:marTop w:val="0"/>
      <w:marBottom w:val="0"/>
      <w:divBdr>
        <w:top w:val="none" w:sz="0" w:space="0" w:color="auto"/>
        <w:left w:val="none" w:sz="0" w:space="0" w:color="auto"/>
        <w:bottom w:val="none" w:sz="0" w:space="0" w:color="auto"/>
        <w:right w:val="none" w:sz="0" w:space="0" w:color="auto"/>
      </w:divBdr>
    </w:div>
    <w:div w:id="1911576183">
      <w:bodyDiv w:val="1"/>
      <w:marLeft w:val="0"/>
      <w:marRight w:val="0"/>
      <w:marTop w:val="0"/>
      <w:marBottom w:val="0"/>
      <w:divBdr>
        <w:top w:val="none" w:sz="0" w:space="0" w:color="auto"/>
        <w:left w:val="none" w:sz="0" w:space="0" w:color="auto"/>
        <w:bottom w:val="none" w:sz="0" w:space="0" w:color="auto"/>
        <w:right w:val="none" w:sz="0" w:space="0" w:color="auto"/>
      </w:divBdr>
      <w:divsChild>
        <w:div w:id="723259429">
          <w:marLeft w:val="0"/>
          <w:marRight w:val="0"/>
          <w:marTop w:val="0"/>
          <w:marBottom w:val="0"/>
          <w:divBdr>
            <w:top w:val="none" w:sz="0" w:space="0" w:color="auto"/>
            <w:left w:val="none" w:sz="0" w:space="0" w:color="auto"/>
            <w:bottom w:val="none" w:sz="0" w:space="0" w:color="auto"/>
            <w:right w:val="none" w:sz="0" w:space="0" w:color="auto"/>
          </w:divBdr>
          <w:divsChild>
            <w:div w:id="813762121">
              <w:marLeft w:val="0"/>
              <w:marRight w:val="0"/>
              <w:marTop w:val="0"/>
              <w:marBottom w:val="0"/>
              <w:divBdr>
                <w:top w:val="none" w:sz="0" w:space="0" w:color="auto"/>
                <w:left w:val="none" w:sz="0" w:space="0" w:color="auto"/>
                <w:bottom w:val="none" w:sz="0" w:space="0" w:color="auto"/>
                <w:right w:val="none" w:sz="0" w:space="0" w:color="auto"/>
              </w:divBdr>
              <w:divsChild>
                <w:div w:id="19173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4577">
      <w:bodyDiv w:val="1"/>
      <w:marLeft w:val="0"/>
      <w:marRight w:val="0"/>
      <w:marTop w:val="0"/>
      <w:marBottom w:val="0"/>
      <w:divBdr>
        <w:top w:val="none" w:sz="0" w:space="0" w:color="auto"/>
        <w:left w:val="none" w:sz="0" w:space="0" w:color="auto"/>
        <w:bottom w:val="none" w:sz="0" w:space="0" w:color="auto"/>
        <w:right w:val="none" w:sz="0" w:space="0" w:color="auto"/>
      </w:divBdr>
      <w:divsChild>
        <w:div w:id="2029521480">
          <w:marLeft w:val="0"/>
          <w:marRight w:val="0"/>
          <w:marTop w:val="0"/>
          <w:marBottom w:val="0"/>
          <w:divBdr>
            <w:top w:val="none" w:sz="0" w:space="0" w:color="auto"/>
            <w:left w:val="none" w:sz="0" w:space="0" w:color="auto"/>
            <w:bottom w:val="none" w:sz="0" w:space="0" w:color="auto"/>
            <w:right w:val="none" w:sz="0" w:space="0" w:color="auto"/>
          </w:divBdr>
          <w:divsChild>
            <w:div w:id="1132332119">
              <w:marLeft w:val="0"/>
              <w:marRight w:val="0"/>
              <w:marTop w:val="0"/>
              <w:marBottom w:val="0"/>
              <w:divBdr>
                <w:top w:val="none" w:sz="0" w:space="0" w:color="auto"/>
                <w:left w:val="none" w:sz="0" w:space="0" w:color="auto"/>
                <w:bottom w:val="none" w:sz="0" w:space="0" w:color="auto"/>
                <w:right w:val="none" w:sz="0" w:space="0" w:color="auto"/>
              </w:divBdr>
              <w:divsChild>
                <w:div w:id="6058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60430">
      <w:bodyDiv w:val="1"/>
      <w:marLeft w:val="0"/>
      <w:marRight w:val="0"/>
      <w:marTop w:val="0"/>
      <w:marBottom w:val="0"/>
      <w:divBdr>
        <w:top w:val="none" w:sz="0" w:space="0" w:color="auto"/>
        <w:left w:val="none" w:sz="0" w:space="0" w:color="auto"/>
        <w:bottom w:val="none" w:sz="0" w:space="0" w:color="auto"/>
        <w:right w:val="none" w:sz="0" w:space="0" w:color="auto"/>
      </w:divBdr>
    </w:div>
    <w:div w:id="1981180621">
      <w:bodyDiv w:val="1"/>
      <w:marLeft w:val="0"/>
      <w:marRight w:val="0"/>
      <w:marTop w:val="0"/>
      <w:marBottom w:val="0"/>
      <w:divBdr>
        <w:top w:val="none" w:sz="0" w:space="0" w:color="auto"/>
        <w:left w:val="none" w:sz="0" w:space="0" w:color="auto"/>
        <w:bottom w:val="none" w:sz="0" w:space="0" w:color="auto"/>
        <w:right w:val="none" w:sz="0" w:space="0" w:color="auto"/>
      </w:divBdr>
      <w:divsChild>
        <w:div w:id="484247355">
          <w:marLeft w:val="0"/>
          <w:marRight w:val="0"/>
          <w:marTop w:val="0"/>
          <w:marBottom w:val="0"/>
          <w:divBdr>
            <w:top w:val="none" w:sz="0" w:space="0" w:color="auto"/>
            <w:left w:val="none" w:sz="0" w:space="0" w:color="auto"/>
            <w:bottom w:val="none" w:sz="0" w:space="0" w:color="auto"/>
            <w:right w:val="none" w:sz="0" w:space="0" w:color="auto"/>
          </w:divBdr>
          <w:divsChild>
            <w:div w:id="310865608">
              <w:marLeft w:val="0"/>
              <w:marRight w:val="0"/>
              <w:marTop w:val="0"/>
              <w:marBottom w:val="0"/>
              <w:divBdr>
                <w:top w:val="none" w:sz="0" w:space="0" w:color="auto"/>
                <w:left w:val="none" w:sz="0" w:space="0" w:color="auto"/>
                <w:bottom w:val="none" w:sz="0" w:space="0" w:color="auto"/>
                <w:right w:val="none" w:sz="0" w:space="0" w:color="auto"/>
              </w:divBdr>
              <w:divsChild>
                <w:div w:id="20530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8702">
      <w:bodyDiv w:val="1"/>
      <w:marLeft w:val="0"/>
      <w:marRight w:val="0"/>
      <w:marTop w:val="0"/>
      <w:marBottom w:val="0"/>
      <w:divBdr>
        <w:top w:val="none" w:sz="0" w:space="0" w:color="auto"/>
        <w:left w:val="none" w:sz="0" w:space="0" w:color="auto"/>
        <w:bottom w:val="none" w:sz="0" w:space="0" w:color="auto"/>
        <w:right w:val="none" w:sz="0" w:space="0" w:color="auto"/>
      </w:divBdr>
      <w:divsChild>
        <w:div w:id="920722937">
          <w:marLeft w:val="0"/>
          <w:marRight w:val="0"/>
          <w:marTop w:val="0"/>
          <w:marBottom w:val="0"/>
          <w:divBdr>
            <w:top w:val="none" w:sz="0" w:space="0" w:color="auto"/>
            <w:left w:val="none" w:sz="0" w:space="0" w:color="auto"/>
            <w:bottom w:val="none" w:sz="0" w:space="0" w:color="auto"/>
            <w:right w:val="none" w:sz="0" w:space="0" w:color="auto"/>
          </w:divBdr>
          <w:divsChild>
            <w:div w:id="752432603">
              <w:marLeft w:val="0"/>
              <w:marRight w:val="0"/>
              <w:marTop w:val="0"/>
              <w:marBottom w:val="0"/>
              <w:divBdr>
                <w:top w:val="none" w:sz="0" w:space="0" w:color="auto"/>
                <w:left w:val="none" w:sz="0" w:space="0" w:color="auto"/>
                <w:bottom w:val="none" w:sz="0" w:space="0" w:color="auto"/>
                <w:right w:val="none" w:sz="0" w:space="0" w:color="auto"/>
              </w:divBdr>
              <w:divsChild>
                <w:div w:id="654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4L01377" TargetMode="External"/><Relationship Id="rId13" Type="http://schemas.openxmlformats.org/officeDocument/2006/relationships/hyperlink" Target="https://equals.novacore.cloud/doc?doc_no=57900916" TargetMode="External"/><Relationship Id="rId18" Type="http://schemas.openxmlformats.org/officeDocument/2006/relationships/hyperlink" Target="https://www.legislation.gov.au/Details/F2017C006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quals.novacore.cloud/doc?doc_no=57900882" TargetMode="External"/><Relationship Id="rId7" Type="http://schemas.openxmlformats.org/officeDocument/2006/relationships/endnotes" Target="endnotes.xml"/><Relationship Id="rId12" Type="http://schemas.openxmlformats.org/officeDocument/2006/relationships/hyperlink" Target="https://app.smartsheet.com/b/form/18ceacae240544f1936db4507723fdc5" TargetMode="External"/><Relationship Id="rId17" Type="http://schemas.openxmlformats.org/officeDocument/2006/relationships/hyperlink" Target="https://www.legislation.gov.au/Details/F2017L0118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au/Series/C2004A00757" TargetMode="External"/><Relationship Id="rId20" Type="http://schemas.openxmlformats.org/officeDocument/2006/relationships/hyperlink" Target="https://equals.novacore.cloud/doc?doc_no=57900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als.novacore.cloud/doc?doc_no=5790019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quals.novacore.cloud/" TargetMode="External"/><Relationship Id="rId23" Type="http://schemas.openxmlformats.org/officeDocument/2006/relationships/hyperlink" Target="https://equals.novacore.cloud/doc?doc_no=57900252" TargetMode="External"/><Relationship Id="rId10" Type="http://schemas.openxmlformats.org/officeDocument/2006/relationships/hyperlink" Target="https://equals.novacore.cloud/doc?doc_no=57900252" TargetMode="External"/><Relationship Id="rId19" Type="http://schemas.openxmlformats.org/officeDocument/2006/relationships/hyperlink" Target="https://app.smartsheet.com/b/form/18ceacae240544f1936db4507723fdc5" TargetMode="External"/><Relationship Id="rId4" Type="http://schemas.openxmlformats.org/officeDocument/2006/relationships/settings" Target="settings.xml"/><Relationship Id="rId9" Type="http://schemas.openxmlformats.org/officeDocument/2006/relationships/hyperlink" Target="https://www.legislation.gov.au/Series/F2017L01182" TargetMode="External"/><Relationship Id="rId14" Type="http://schemas.openxmlformats.org/officeDocument/2006/relationships/hyperlink" Target="https://equals.novacore.cloud/doc?doc_no=57900916" TargetMode="External"/><Relationship Id="rId22" Type="http://schemas.openxmlformats.org/officeDocument/2006/relationships/hyperlink" Target="https://equals.novacore.cloud/doc?doc_no=5790025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33A0-EA45-4F82-B6AE-E2EC5492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1343</Words>
  <Characters>7441</Characters>
  <Application>Microsoft Office Word</Application>
  <DocSecurity>0</DocSecurity>
  <Lines>225</Lines>
  <Paragraphs>125</Paragraphs>
  <ScaleCrop>false</ScaleCrop>
  <HeadingPairs>
    <vt:vector size="2" baseType="variant">
      <vt:variant>
        <vt:lpstr>Title</vt:lpstr>
      </vt:variant>
      <vt:variant>
        <vt:i4>1</vt:i4>
      </vt:variant>
    </vt:vector>
  </HeadingPairs>
  <TitlesOfParts>
    <vt:vector size="1" baseType="lpstr">
      <vt:lpstr/>
    </vt:vector>
  </TitlesOfParts>
  <Company>equals</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Harrison</dc:creator>
  <cp:lastModifiedBy>DZANDER</cp:lastModifiedBy>
  <cp:revision>7</cp:revision>
  <cp:lastPrinted>2020-05-05T00:46:00Z</cp:lastPrinted>
  <dcterms:created xsi:type="dcterms:W3CDTF">2023-05-29T06:44:00Z</dcterms:created>
  <dcterms:modified xsi:type="dcterms:W3CDTF">2023-06-08T04:44:00Z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Deb Zander</vt:lpwstr>
  </property>
  <property fmtid="{D5CDD505-2E9C-101B-9397-08002B2CF9AE}" pid="17" name="cmsApprovedDate">
    <vt:lpwstr>08 Jun 2023</vt:lpwstr>
  </property>
  <property fmtid="{D5CDD505-2E9C-101B-9397-08002B2CF9AE}" pid="18" name="cmsDocCreatedBy">
    <vt:lpwstr>Deb Zander</vt:lpwstr>
  </property>
  <property fmtid="{D5CDD505-2E9C-101B-9397-08002B2CF9AE}" pid="19" name="cmsDocName">
    <vt:lpwstr>DOC0259V Resulting Outcomes Policy and Procedure</vt:lpwstr>
  </property>
  <property fmtid="{D5CDD505-2E9C-101B-9397-08002B2CF9AE}" pid="20" name="cmsDocLocation">
    <vt:lpwstr>NovaCore\SRTO 2015\Policy\</vt:lpwstr>
  </property>
  <property fmtid="{D5CDD505-2E9C-101B-9397-08002B2CF9AE}" pid="21" name="cmsDocNumber">
    <vt:lpwstr>DOC0259</vt:lpwstr>
  </property>
  <property fmtid="{D5CDD505-2E9C-101B-9397-08002B2CF9AE}" pid="22" name="cmsNextReviewDate">
    <vt:lpwstr>08 Jul 2025</vt:lpwstr>
  </property>
  <property fmtid="{D5CDD505-2E9C-101B-9397-08002B2CF9AE}" pid="23" name="cmsRevision">
    <vt:lpwstr>2.0</vt:lpwstr>
  </property>
  <property fmtid="{D5CDD505-2E9C-101B-9397-08002B2CF9AE}" pid="24" name="cmsRevisionDate">
    <vt:lpwstr>08 Jun 2023</vt:lpwstr>
  </property>
</Properties>
</file>